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B3" w:rsidRDefault="004C07B3" w:rsidP="004C07B3"/>
    <w:p w:rsidR="004C07B3" w:rsidRDefault="004C07B3" w:rsidP="004C07B3">
      <w:pPr>
        <w:jc w:val="center"/>
        <w:rPr>
          <w:b/>
          <w:smallCaps/>
          <w:sz w:val="28"/>
        </w:rPr>
      </w:pPr>
      <w:r w:rsidRPr="004C07B3">
        <w:rPr>
          <w:b/>
          <w:smallCaps/>
          <w:sz w:val="28"/>
        </w:rPr>
        <w:t xml:space="preserve">Terms of </w:t>
      </w:r>
      <w:r>
        <w:rPr>
          <w:b/>
          <w:smallCaps/>
          <w:sz w:val="28"/>
        </w:rPr>
        <w:t>R</w:t>
      </w:r>
      <w:r w:rsidRPr="004C07B3">
        <w:rPr>
          <w:b/>
          <w:smallCaps/>
          <w:sz w:val="28"/>
        </w:rPr>
        <w:t xml:space="preserve">eference </w:t>
      </w:r>
      <w:r w:rsidRPr="004C07B3">
        <w:rPr>
          <w:b/>
          <w:smallCaps/>
          <w:sz w:val="28"/>
        </w:rPr>
        <w:br/>
        <w:t>Wholesale Market Surveillance Task Force</w:t>
      </w:r>
    </w:p>
    <w:p w:rsidR="004C07B3" w:rsidRPr="004C07B3" w:rsidRDefault="004C07B3" w:rsidP="004C07B3">
      <w:pPr>
        <w:jc w:val="center"/>
        <w:rPr>
          <w:b/>
          <w:smallCaps/>
          <w:sz w:val="28"/>
        </w:rPr>
      </w:pPr>
    </w:p>
    <w:p w:rsidR="00616D27" w:rsidRPr="00905ADA" w:rsidRDefault="00616D27" w:rsidP="00905ADA">
      <w:pPr>
        <w:jc w:val="both"/>
        <w:rPr>
          <w:b/>
        </w:rPr>
      </w:pPr>
      <w:r w:rsidRPr="00905ADA">
        <w:rPr>
          <w:b/>
        </w:rPr>
        <w:t>Background</w:t>
      </w:r>
    </w:p>
    <w:p w:rsidR="00905ADA" w:rsidRDefault="00905ADA" w:rsidP="00905ADA">
      <w:pPr>
        <w:jc w:val="both"/>
      </w:pPr>
      <w:r>
        <w:t>The Agency’s</w:t>
      </w:r>
      <w:r w:rsidR="004C07B3">
        <w:t xml:space="preserve"> Market Integrity and Transparency Working Group (‘AMIT WG’) was established by Director Decision 2012-05 in order to support the Agency in the implementation of Regulation (EU) No. 1227/2011 (‘REMIT’</w:t>
      </w:r>
      <w:r w:rsidR="00F35DC9">
        <w:t xml:space="preserve">). The competences to implement, apply and enforce REMIT are shared between the Agency and NRAs. Close cooperation is therefore </w:t>
      </w:r>
      <w:proofErr w:type="gramStart"/>
      <w:r w:rsidR="00F35DC9">
        <w:t>key</w:t>
      </w:r>
      <w:proofErr w:type="gramEnd"/>
      <w:r w:rsidR="00F35DC9">
        <w:t xml:space="preserve"> to the successful implementation of REMIT and the effective monitoring of wholesale energy markets, and it is necessary to ensure a consistent approach in the application of REMIT throughout the Union. </w:t>
      </w:r>
    </w:p>
    <w:p w:rsidR="00616D27" w:rsidRDefault="00F35DC9" w:rsidP="00905ADA">
      <w:pPr>
        <w:jc w:val="both"/>
      </w:pPr>
      <w:r>
        <w:t xml:space="preserve">The rules on the functioning of the Agency Working Groups </w:t>
      </w:r>
      <w:r w:rsidR="00616D27">
        <w:t xml:space="preserve">(‘AWG’) </w:t>
      </w:r>
      <w:r>
        <w:t>are laid down by Director Decision 2012-06</w:t>
      </w:r>
      <w:r w:rsidR="00616D27">
        <w:t xml:space="preserve">, which </w:t>
      </w:r>
      <w:r w:rsidR="00905ADA">
        <w:t>provides</w:t>
      </w:r>
      <w:r w:rsidR="001D29A0">
        <w:t xml:space="preserve"> </w:t>
      </w:r>
      <w:r w:rsidR="00905ADA">
        <w:t xml:space="preserve">that </w:t>
      </w:r>
      <w:r w:rsidR="00905ADA" w:rsidRPr="00905ADA">
        <w:t>the objectives, deliverables, milestones and deadlines for the activities of the AWGs</w:t>
      </w:r>
      <w:r w:rsidR="00905ADA">
        <w:t xml:space="preserve"> shall be determined </w:t>
      </w:r>
      <w:commentRangeStart w:id="0"/>
      <w:r w:rsidR="00905ADA">
        <w:t>by the Director</w:t>
      </w:r>
      <w:r w:rsidR="00905ADA" w:rsidRPr="00905ADA">
        <w:t xml:space="preserve">, </w:t>
      </w:r>
      <w:commentRangeEnd w:id="0"/>
      <w:r w:rsidR="00905ADA">
        <w:rPr>
          <w:rStyle w:val="CommentReference"/>
        </w:rPr>
        <w:commentReference w:id="0"/>
      </w:r>
      <w:r w:rsidR="00905ADA" w:rsidRPr="00905ADA">
        <w:t xml:space="preserve">after consulting the Chairperson(s) and taking the Agency's Work </w:t>
      </w:r>
      <w:proofErr w:type="spellStart"/>
      <w:r w:rsidR="00905ADA" w:rsidRPr="00905ADA">
        <w:t>Programme</w:t>
      </w:r>
      <w:proofErr w:type="spellEnd"/>
      <w:r w:rsidR="00905ADA" w:rsidRPr="00905ADA">
        <w:t xml:space="preserve"> into acco</w:t>
      </w:r>
      <w:r w:rsidR="00905ADA">
        <w:t xml:space="preserve">unt. Decision 2012-06 also foresees </w:t>
      </w:r>
      <w:r w:rsidR="00616D27">
        <w:t xml:space="preserve">the possibility for the AWG to create Task Forces (‘TF’) if it considers it appropriate. </w:t>
      </w:r>
    </w:p>
    <w:p w:rsidR="00616D27" w:rsidRDefault="00616D27" w:rsidP="00905ADA">
      <w:pPr>
        <w:jc w:val="both"/>
      </w:pPr>
      <w:r>
        <w:t xml:space="preserve">The Wholesale Market Surveillance Task Force (WMS TF) is one of the TFs created at the initiative of the AMIT Chairperson. </w:t>
      </w:r>
    </w:p>
    <w:p w:rsidR="00616D27" w:rsidRPr="00905ADA" w:rsidRDefault="00616D27" w:rsidP="00905ADA">
      <w:pPr>
        <w:jc w:val="both"/>
        <w:rPr>
          <w:b/>
        </w:rPr>
      </w:pPr>
      <w:r w:rsidRPr="00905ADA">
        <w:rPr>
          <w:b/>
        </w:rPr>
        <w:t>Responsibilities</w:t>
      </w:r>
    </w:p>
    <w:p w:rsidR="00616D27" w:rsidRDefault="00F2617F" w:rsidP="00905ADA">
      <w:pPr>
        <w:jc w:val="both"/>
      </w:pPr>
      <w:r>
        <w:t xml:space="preserve">The WMS TF </w:t>
      </w:r>
      <w:r w:rsidR="00616D27">
        <w:t>s</w:t>
      </w:r>
      <w:r w:rsidR="00616D27" w:rsidRPr="005C116A">
        <w:t>erves as a platform for the exchange of information between ACER and NRAs in preparing and performing market monitoring under REMIT, contributing to the establishment a common monitoring culture and consistent monitoring practices</w:t>
      </w:r>
      <w:r>
        <w:t>. In particular, the WMS TF</w:t>
      </w:r>
      <w:r w:rsidR="00616D27">
        <w:t xml:space="preserve"> assists the Agency in:</w:t>
      </w:r>
    </w:p>
    <w:p w:rsidR="00616D27" w:rsidRDefault="00616D27" w:rsidP="00905ADA">
      <w:pPr>
        <w:pStyle w:val="ListParagraph"/>
        <w:numPr>
          <w:ilvl w:val="0"/>
          <w:numId w:val="7"/>
        </w:numPr>
        <w:jc w:val="both"/>
      </w:pPr>
      <w:r>
        <w:t>providing Guidance to NRAs on the application of REMIT</w:t>
      </w:r>
      <w:r w:rsidR="00F2617F">
        <w:t>;</w:t>
      </w:r>
    </w:p>
    <w:p w:rsidR="00616D27" w:rsidRDefault="00905ADA" w:rsidP="00905ADA">
      <w:pPr>
        <w:pStyle w:val="ListParagraph"/>
        <w:numPr>
          <w:ilvl w:val="0"/>
          <w:numId w:val="7"/>
        </w:numPr>
        <w:jc w:val="both"/>
      </w:pPr>
      <w:r>
        <w:t>monitoring NRAs’ proceedings under REMIT</w:t>
      </w:r>
      <w:r w:rsidR="00F2617F">
        <w:t>;</w:t>
      </w:r>
    </w:p>
    <w:p w:rsidR="00905ADA" w:rsidRDefault="00905ADA" w:rsidP="00905ADA">
      <w:pPr>
        <w:pStyle w:val="ListParagraph"/>
        <w:numPr>
          <w:ilvl w:val="0"/>
          <w:numId w:val="7"/>
        </w:numPr>
        <w:jc w:val="both"/>
      </w:pPr>
      <w:r>
        <w:t>monitoring the conferral of investigatory and enforcement powers to NRAs under REMIT as well as their application</w:t>
      </w:r>
      <w:r w:rsidR="00F2617F">
        <w:t>;</w:t>
      </w:r>
      <w:r>
        <w:t xml:space="preserve"> </w:t>
      </w:r>
    </w:p>
    <w:p w:rsidR="00905ADA" w:rsidRDefault="00905ADA" w:rsidP="00905ADA">
      <w:pPr>
        <w:pStyle w:val="ListParagraph"/>
        <w:numPr>
          <w:ilvl w:val="0"/>
          <w:numId w:val="7"/>
        </w:numPr>
        <w:jc w:val="both"/>
      </w:pPr>
      <w:r>
        <w:t xml:space="preserve">handling the </w:t>
      </w:r>
      <w:r w:rsidRPr="005C116A">
        <w:t>Market Surveillance Forum</w:t>
      </w:r>
      <w:r w:rsidR="00F2617F">
        <w:t>;</w:t>
      </w:r>
    </w:p>
    <w:p w:rsidR="00905ADA" w:rsidRDefault="00905ADA" w:rsidP="00905ADA">
      <w:pPr>
        <w:pStyle w:val="ListParagraph"/>
        <w:numPr>
          <w:ilvl w:val="0"/>
          <w:numId w:val="7"/>
        </w:numPr>
        <w:jc w:val="both"/>
      </w:pPr>
      <w:r>
        <w:t xml:space="preserve">establishing and monitoring the implementation of the Multilateral Memorandum of Understanding with NRAs </w:t>
      </w:r>
      <w:r w:rsidR="00F2617F">
        <w:t xml:space="preserve">on the cooperation and coordination of market monitoring under </w:t>
      </w:r>
      <w:r>
        <w:t>REMIT</w:t>
      </w:r>
      <w:r w:rsidR="00F2617F">
        <w:t>;</w:t>
      </w:r>
    </w:p>
    <w:p w:rsidR="00905ADA" w:rsidRDefault="00905ADA" w:rsidP="00905ADA">
      <w:pPr>
        <w:pStyle w:val="ListParagraph"/>
        <w:numPr>
          <w:ilvl w:val="0"/>
          <w:numId w:val="7"/>
        </w:numPr>
        <w:jc w:val="both"/>
      </w:pPr>
      <w:proofErr w:type="gramStart"/>
      <w:r>
        <w:t>establishing</w:t>
      </w:r>
      <w:proofErr w:type="gramEnd"/>
      <w:r>
        <w:t xml:space="preserve"> and monitoring the implementation of the Memorandum</w:t>
      </w:r>
      <w:r>
        <w:t>s</w:t>
      </w:r>
      <w:r>
        <w:t xml:space="preserve"> of Understanding with </w:t>
      </w:r>
      <w:r>
        <w:t xml:space="preserve">organized </w:t>
      </w:r>
      <w:r w:rsidR="00F2617F">
        <w:t xml:space="preserve">markets. </w:t>
      </w:r>
    </w:p>
    <w:p w:rsidR="00905ADA" w:rsidRDefault="00905ADA" w:rsidP="00905ADA">
      <w:pPr>
        <w:jc w:val="both"/>
      </w:pPr>
      <w:r>
        <w:t xml:space="preserve">Furthermore, the WMS TF receives expert advice </w:t>
      </w:r>
      <w:r w:rsidRPr="005C116A">
        <w:t>from the WMS Ad hoc Expert Group</w:t>
      </w:r>
      <w:r>
        <w:t>, whose members are</w:t>
      </w:r>
      <w:r w:rsidRPr="005C116A">
        <w:t xml:space="preserve"> market surveillance experts from </w:t>
      </w:r>
      <w:proofErr w:type="spellStart"/>
      <w:r w:rsidRPr="005C116A">
        <w:t>organised</w:t>
      </w:r>
      <w:proofErr w:type="spellEnd"/>
      <w:r w:rsidRPr="005C116A">
        <w:t xml:space="preserve"> market places</w:t>
      </w:r>
      <w:r>
        <w:t>.</w:t>
      </w:r>
    </w:p>
    <w:p w:rsidR="00905ADA" w:rsidRDefault="001D29A0" w:rsidP="00905ADA">
      <w:pPr>
        <w:jc w:val="both"/>
      </w:pPr>
      <w:r>
        <w:lastRenderedPageBreak/>
        <w:t xml:space="preserve">The deliverables, milestones and deadlines for the WMS TF are determined, within its area of responsibility, on the basis of the Agency’s </w:t>
      </w:r>
      <w:commentRangeStart w:id="1"/>
      <w:r>
        <w:t xml:space="preserve">Work </w:t>
      </w:r>
      <w:proofErr w:type="spellStart"/>
      <w:r>
        <w:t>Programme</w:t>
      </w:r>
      <w:proofErr w:type="spellEnd"/>
      <w:r>
        <w:t xml:space="preserve">. </w:t>
      </w:r>
      <w:commentRangeEnd w:id="1"/>
      <w:r>
        <w:rPr>
          <w:rStyle w:val="CommentReference"/>
        </w:rPr>
        <w:commentReference w:id="1"/>
      </w:r>
    </w:p>
    <w:p w:rsidR="001D29A0" w:rsidRDefault="001D29A0">
      <w:r>
        <w:br w:type="page"/>
      </w:r>
    </w:p>
    <w:p w:rsidR="001D29A0" w:rsidRDefault="001D29A0" w:rsidP="001D29A0">
      <w:pPr>
        <w:jc w:val="both"/>
      </w:pPr>
      <w:r>
        <w:rPr>
          <w:b/>
          <w:smallCaps/>
          <w:sz w:val="28"/>
        </w:rPr>
        <w:lastRenderedPageBreak/>
        <w:t xml:space="preserve">Annex I to the </w:t>
      </w:r>
      <w:r w:rsidRPr="004C07B3">
        <w:rPr>
          <w:b/>
          <w:smallCaps/>
          <w:sz w:val="28"/>
        </w:rPr>
        <w:t xml:space="preserve">Terms of </w:t>
      </w:r>
      <w:r>
        <w:rPr>
          <w:b/>
          <w:smallCaps/>
          <w:sz w:val="28"/>
        </w:rPr>
        <w:t>R</w:t>
      </w:r>
      <w:r w:rsidRPr="004C07B3">
        <w:rPr>
          <w:b/>
          <w:smallCaps/>
          <w:sz w:val="28"/>
        </w:rPr>
        <w:t xml:space="preserve">eference </w:t>
      </w:r>
      <w:r>
        <w:rPr>
          <w:b/>
          <w:smallCaps/>
          <w:sz w:val="28"/>
        </w:rPr>
        <w:t xml:space="preserve">- </w:t>
      </w:r>
      <w:r w:rsidRPr="004C07B3">
        <w:rPr>
          <w:b/>
          <w:smallCaps/>
          <w:sz w:val="28"/>
        </w:rPr>
        <w:t>Wholesale Market Surveillance Task Force</w:t>
      </w:r>
    </w:p>
    <w:p w:rsidR="001D29A0" w:rsidRDefault="001D29A0" w:rsidP="001D29A0">
      <w:pPr>
        <w:jc w:val="center"/>
        <w:rPr>
          <w:b/>
          <w:smallCaps/>
          <w:sz w:val="28"/>
        </w:rPr>
      </w:pPr>
      <w:r>
        <w:rPr>
          <w:b/>
          <w:smallCaps/>
          <w:sz w:val="28"/>
        </w:rPr>
        <w:t>Deliverables for</w:t>
      </w:r>
      <w:r>
        <w:rPr>
          <w:b/>
          <w:smallCaps/>
          <w:sz w:val="28"/>
        </w:rPr>
        <w:t xml:space="preserve"> the y</w:t>
      </w:r>
      <w:r w:rsidRPr="001D29A0">
        <w:rPr>
          <w:b/>
          <w:smallCaps/>
          <w:sz w:val="28"/>
        </w:rPr>
        <w:t>ear 2014</w:t>
      </w:r>
    </w:p>
    <w:p w:rsidR="001D29A0" w:rsidRDefault="001D29A0">
      <w:pPr>
        <w:rPr>
          <w:b/>
          <w:smallCaps/>
          <w:sz w:val="28"/>
        </w:rPr>
      </w:pPr>
      <w:r>
        <w:rPr>
          <w:b/>
          <w:smallCaps/>
          <w:sz w:val="28"/>
        </w:rPr>
        <w:br w:type="page"/>
      </w:r>
    </w:p>
    <w:p w:rsidR="001D29A0" w:rsidRPr="001D29A0" w:rsidRDefault="001D29A0" w:rsidP="001D29A0">
      <w:pPr>
        <w:jc w:val="center"/>
        <w:rPr>
          <w:b/>
          <w:smallCaps/>
          <w:sz w:val="28"/>
          <w:lang w:val="de-DE"/>
        </w:rPr>
      </w:pPr>
      <w:r w:rsidRPr="004C07B3">
        <w:rPr>
          <w:b/>
          <w:smallCaps/>
          <w:sz w:val="28"/>
        </w:rPr>
        <w:lastRenderedPageBreak/>
        <w:t xml:space="preserve">Terms of </w:t>
      </w:r>
      <w:r>
        <w:rPr>
          <w:b/>
          <w:smallCaps/>
          <w:sz w:val="28"/>
        </w:rPr>
        <w:t>R</w:t>
      </w:r>
      <w:r w:rsidRPr="004C07B3">
        <w:rPr>
          <w:b/>
          <w:smallCaps/>
          <w:sz w:val="28"/>
        </w:rPr>
        <w:t xml:space="preserve">eference </w:t>
      </w:r>
      <w:r w:rsidRPr="004C07B3">
        <w:rPr>
          <w:b/>
          <w:smallCaps/>
          <w:sz w:val="28"/>
        </w:rPr>
        <w:br/>
      </w:r>
      <w:r w:rsidRPr="001D29A0">
        <w:rPr>
          <w:b/>
          <w:smallCaps/>
          <w:sz w:val="28"/>
        </w:rPr>
        <w:t>Market Monitoring Governance Task Force</w:t>
      </w:r>
    </w:p>
    <w:p w:rsidR="001D29A0" w:rsidRDefault="001D29A0" w:rsidP="001D29A0">
      <w:pPr>
        <w:jc w:val="center"/>
        <w:rPr>
          <w:b/>
          <w:smallCaps/>
          <w:sz w:val="28"/>
        </w:rPr>
      </w:pPr>
    </w:p>
    <w:p w:rsidR="001D29A0" w:rsidRPr="004C07B3" w:rsidRDefault="001D29A0" w:rsidP="001D29A0">
      <w:pPr>
        <w:jc w:val="center"/>
        <w:rPr>
          <w:b/>
          <w:smallCaps/>
          <w:sz w:val="28"/>
        </w:rPr>
      </w:pPr>
    </w:p>
    <w:p w:rsidR="001D29A0" w:rsidRPr="00905ADA" w:rsidRDefault="001D29A0" w:rsidP="001D29A0">
      <w:pPr>
        <w:jc w:val="both"/>
        <w:rPr>
          <w:b/>
        </w:rPr>
      </w:pPr>
      <w:r w:rsidRPr="00905ADA">
        <w:rPr>
          <w:b/>
        </w:rPr>
        <w:t>Background</w:t>
      </w:r>
    </w:p>
    <w:p w:rsidR="001D29A0" w:rsidRDefault="001D29A0" w:rsidP="001D29A0">
      <w:pPr>
        <w:jc w:val="both"/>
      </w:pPr>
      <w:r>
        <w:t xml:space="preserve">The Agency’s Market Integrity and Transparency Working Group (‘AMIT WG’) was established by Director Decision 2012-05 in order to support the Agency in the implementation of Regulation (EU) No. 1227/2011 (‘REMIT’). The competences to implement, apply and enforce REMIT are shared between the Agency and NRAs. Close cooperation is therefore </w:t>
      </w:r>
      <w:proofErr w:type="gramStart"/>
      <w:r>
        <w:t>key</w:t>
      </w:r>
      <w:proofErr w:type="gramEnd"/>
      <w:r>
        <w:t xml:space="preserve"> to the successful implementation of REMIT and the effective monitoring of wholesale energy markets, and</w:t>
      </w:r>
      <w:r w:rsidR="00F2617F">
        <w:t xml:space="preserve"> it is necessary to ensure </w:t>
      </w:r>
      <w:r>
        <w:t xml:space="preserve">a consistent approach in the application of REMIT throughout the Union. </w:t>
      </w:r>
    </w:p>
    <w:p w:rsidR="001D29A0" w:rsidRDefault="001D29A0" w:rsidP="001D29A0">
      <w:pPr>
        <w:jc w:val="both"/>
      </w:pPr>
      <w:r>
        <w:t>The rules on the functioning of the Agency Working Groups (‘AWG’) are laid down by Director Decision 2012-06, which provides</w:t>
      </w:r>
      <w:r>
        <w:t xml:space="preserve"> </w:t>
      </w:r>
      <w:r>
        <w:t xml:space="preserve">that </w:t>
      </w:r>
      <w:r w:rsidRPr="00905ADA">
        <w:t>the objectives, deliverables, milestones and deadlines for the activities of the AWGs</w:t>
      </w:r>
      <w:r>
        <w:t xml:space="preserve"> shall be determined </w:t>
      </w:r>
      <w:commentRangeStart w:id="2"/>
      <w:r>
        <w:t>by the Director</w:t>
      </w:r>
      <w:r w:rsidRPr="00905ADA">
        <w:t xml:space="preserve">, </w:t>
      </w:r>
      <w:commentRangeEnd w:id="2"/>
      <w:r>
        <w:rPr>
          <w:rStyle w:val="CommentReference"/>
        </w:rPr>
        <w:commentReference w:id="2"/>
      </w:r>
      <w:r w:rsidRPr="00905ADA">
        <w:t xml:space="preserve">after consulting the Chairperson(s) and taking the Agency's Work </w:t>
      </w:r>
      <w:proofErr w:type="spellStart"/>
      <w:r w:rsidRPr="00905ADA">
        <w:t>Programme</w:t>
      </w:r>
      <w:proofErr w:type="spellEnd"/>
      <w:r w:rsidRPr="00905ADA">
        <w:t xml:space="preserve"> into acco</w:t>
      </w:r>
      <w:r>
        <w:t xml:space="preserve">unt. Decision 2012-06 also foresees the possibility for the AWG to create Task Forces (‘TF’) if it considers it appropriate. </w:t>
      </w:r>
    </w:p>
    <w:p w:rsidR="001D29A0" w:rsidRDefault="001D29A0" w:rsidP="001D29A0">
      <w:pPr>
        <w:jc w:val="both"/>
      </w:pPr>
      <w:r>
        <w:t xml:space="preserve">The Market Monitoring </w:t>
      </w:r>
      <w:r>
        <w:t>Governance</w:t>
      </w:r>
      <w:r>
        <w:t xml:space="preserve"> Task Force</w:t>
      </w:r>
      <w:r>
        <w:t xml:space="preserve"> (MMG</w:t>
      </w:r>
      <w:r>
        <w:t xml:space="preserve"> TF) is one of the TFs created at the initiative of the AMIT Chairperson. </w:t>
      </w:r>
    </w:p>
    <w:p w:rsidR="001D29A0" w:rsidRPr="001D29A0" w:rsidRDefault="001D29A0" w:rsidP="001D29A0">
      <w:pPr>
        <w:jc w:val="both"/>
      </w:pPr>
    </w:p>
    <w:p w:rsidR="001D29A0" w:rsidRPr="001D29A0" w:rsidRDefault="001D29A0" w:rsidP="001D29A0">
      <w:pPr>
        <w:jc w:val="both"/>
        <w:rPr>
          <w:b/>
        </w:rPr>
      </w:pPr>
      <w:r w:rsidRPr="001D29A0">
        <w:rPr>
          <w:b/>
        </w:rPr>
        <w:t>Responsibilities</w:t>
      </w:r>
    </w:p>
    <w:p w:rsidR="000E1839" w:rsidRDefault="001D29A0" w:rsidP="001D29A0">
      <w:pPr>
        <w:jc w:val="both"/>
      </w:pPr>
      <w:r>
        <w:t xml:space="preserve">The </w:t>
      </w:r>
      <w:r>
        <w:t xml:space="preserve">MMG TF </w:t>
      </w:r>
      <w:r w:rsidR="000E1839">
        <w:t>deals mainly with the implementation of REMIT, in particular as regards the registration of market participants, and the collection and monitoring of trade and fundamental data. In particular, it assists the Agency in:</w:t>
      </w:r>
    </w:p>
    <w:p w:rsidR="000E1839" w:rsidRDefault="000E1839" w:rsidP="000E1839">
      <w:pPr>
        <w:pStyle w:val="ListParagraph"/>
        <w:numPr>
          <w:ilvl w:val="0"/>
          <w:numId w:val="8"/>
        </w:numPr>
        <w:jc w:val="both"/>
      </w:pPr>
      <w:r>
        <w:t>defining standards, formats and procedures related to the registration of market participants;</w:t>
      </w:r>
    </w:p>
    <w:p w:rsidR="000E1839" w:rsidRDefault="000E1839" w:rsidP="000E1839">
      <w:pPr>
        <w:pStyle w:val="ListParagraph"/>
        <w:numPr>
          <w:ilvl w:val="0"/>
          <w:numId w:val="8"/>
        </w:numPr>
        <w:jc w:val="both"/>
      </w:pPr>
      <w:r>
        <w:t xml:space="preserve">defining standards, formats and procedures related to the </w:t>
      </w:r>
      <w:r>
        <w:t>reporting of trade and fundamental data;</w:t>
      </w:r>
    </w:p>
    <w:p w:rsidR="000E1839" w:rsidRDefault="000E1839" w:rsidP="000E1839">
      <w:pPr>
        <w:pStyle w:val="ListParagraph"/>
        <w:numPr>
          <w:ilvl w:val="0"/>
          <w:numId w:val="8"/>
        </w:numPr>
        <w:jc w:val="both"/>
      </w:pPr>
      <w:r>
        <w:t>providing input to the European Commission and other European Institutions as regards the implementation of REMIT and the functioning of wholesale energy markets;</w:t>
      </w:r>
    </w:p>
    <w:p w:rsidR="000E1839" w:rsidRDefault="000E1839" w:rsidP="000E1839">
      <w:pPr>
        <w:pStyle w:val="ListParagraph"/>
        <w:numPr>
          <w:ilvl w:val="0"/>
          <w:numId w:val="8"/>
        </w:numPr>
        <w:jc w:val="both"/>
      </w:pPr>
      <w:r>
        <w:t xml:space="preserve">defining the policy on the transmission of trade and fundamental data to NRAs; </w:t>
      </w:r>
    </w:p>
    <w:p w:rsidR="000E1839" w:rsidRDefault="000E1839" w:rsidP="000E1839">
      <w:pPr>
        <w:pStyle w:val="ListParagraph"/>
        <w:numPr>
          <w:ilvl w:val="0"/>
          <w:numId w:val="8"/>
        </w:numPr>
        <w:jc w:val="both"/>
      </w:pPr>
      <w:r>
        <w:t>defining the policy of the Agency as regards the disclosure of data collected by the Agency under REMIT;</w:t>
      </w:r>
    </w:p>
    <w:p w:rsidR="000E1839" w:rsidRDefault="000E1839" w:rsidP="000E1839">
      <w:pPr>
        <w:pStyle w:val="ListParagraph"/>
        <w:numPr>
          <w:ilvl w:val="0"/>
          <w:numId w:val="8"/>
        </w:numPr>
        <w:jc w:val="both"/>
      </w:pPr>
      <w:proofErr w:type="gramStart"/>
      <w:r>
        <w:t>monitoring</w:t>
      </w:r>
      <w:proofErr w:type="gramEnd"/>
      <w:r>
        <w:t xml:space="preserve"> the evolution of EU energy and financial markets legislation of relevance to the activities of the Agency and NRAs under REMIT.</w:t>
      </w:r>
    </w:p>
    <w:p w:rsidR="00000000" w:rsidRDefault="000E1839" w:rsidP="000E1839">
      <w:pPr>
        <w:jc w:val="both"/>
      </w:pPr>
      <w:r>
        <w:lastRenderedPageBreak/>
        <w:t>Furthermore, the MMG TF r</w:t>
      </w:r>
      <w:r w:rsidR="00F2617F" w:rsidRPr="000E1839">
        <w:t>eceives expert advice from the RE</w:t>
      </w:r>
      <w:r w:rsidRPr="000E1839">
        <w:t xml:space="preserve">MIT Implementation Expert Group, whose members are </w:t>
      </w:r>
      <w:r w:rsidR="00F2617F" w:rsidRPr="000E1839">
        <w:t xml:space="preserve">regulatory experts from market </w:t>
      </w:r>
      <w:r w:rsidR="00F2617F" w:rsidRPr="000E1839">
        <w:t>participants</w:t>
      </w:r>
      <w:r w:rsidRPr="000E1839">
        <w:t xml:space="preserve">. </w:t>
      </w:r>
    </w:p>
    <w:p w:rsidR="00F2617F" w:rsidRDefault="00F2617F" w:rsidP="00F2617F">
      <w:pPr>
        <w:jc w:val="both"/>
      </w:pPr>
      <w:r>
        <w:t>The deliverables, mile</w:t>
      </w:r>
      <w:r>
        <w:t>stones and deadlines for the MMG</w:t>
      </w:r>
      <w:r>
        <w:t xml:space="preserve"> TF are determined, within its area of responsibility, on the basis of the Agency’s </w:t>
      </w:r>
      <w:commentRangeStart w:id="3"/>
      <w:r>
        <w:t xml:space="preserve">Work </w:t>
      </w:r>
      <w:proofErr w:type="spellStart"/>
      <w:r>
        <w:t>Programme</w:t>
      </w:r>
      <w:proofErr w:type="spellEnd"/>
      <w:r>
        <w:t xml:space="preserve">. </w:t>
      </w:r>
      <w:commentRangeEnd w:id="3"/>
      <w:r>
        <w:rPr>
          <w:rStyle w:val="CommentReference"/>
        </w:rPr>
        <w:commentReference w:id="3"/>
      </w:r>
    </w:p>
    <w:p w:rsidR="00F2617F" w:rsidRPr="000E1839" w:rsidRDefault="00F2617F" w:rsidP="000E1839">
      <w:pPr>
        <w:jc w:val="both"/>
      </w:pPr>
    </w:p>
    <w:p w:rsidR="000E1839" w:rsidRDefault="000E1839">
      <w:pPr>
        <w:rPr>
          <w:highlight w:val="yellow"/>
        </w:rPr>
      </w:pPr>
      <w:r>
        <w:rPr>
          <w:highlight w:val="yellow"/>
        </w:rPr>
        <w:br w:type="page"/>
      </w:r>
    </w:p>
    <w:p w:rsidR="000E1839" w:rsidRDefault="000E1839" w:rsidP="000E1839">
      <w:pPr>
        <w:jc w:val="both"/>
      </w:pPr>
      <w:r>
        <w:rPr>
          <w:b/>
          <w:smallCaps/>
          <w:sz w:val="28"/>
        </w:rPr>
        <w:lastRenderedPageBreak/>
        <w:t xml:space="preserve">Annex I to the </w:t>
      </w:r>
      <w:r w:rsidRPr="004C07B3">
        <w:rPr>
          <w:b/>
          <w:smallCaps/>
          <w:sz w:val="28"/>
        </w:rPr>
        <w:t xml:space="preserve">Terms of </w:t>
      </w:r>
      <w:r>
        <w:rPr>
          <w:b/>
          <w:smallCaps/>
          <w:sz w:val="28"/>
        </w:rPr>
        <w:t>R</w:t>
      </w:r>
      <w:r w:rsidRPr="004C07B3">
        <w:rPr>
          <w:b/>
          <w:smallCaps/>
          <w:sz w:val="28"/>
        </w:rPr>
        <w:t xml:space="preserve">eference </w:t>
      </w:r>
      <w:r>
        <w:rPr>
          <w:b/>
          <w:smallCaps/>
          <w:sz w:val="28"/>
        </w:rPr>
        <w:t xml:space="preserve">- </w:t>
      </w:r>
      <w:r w:rsidRPr="001D29A0">
        <w:rPr>
          <w:b/>
          <w:smallCaps/>
          <w:sz w:val="28"/>
        </w:rPr>
        <w:t>Market Monitoring Governance Task Force</w:t>
      </w:r>
    </w:p>
    <w:p w:rsidR="000E1839" w:rsidRDefault="000E1839" w:rsidP="000E1839">
      <w:pPr>
        <w:jc w:val="center"/>
        <w:rPr>
          <w:b/>
          <w:smallCaps/>
          <w:sz w:val="28"/>
        </w:rPr>
      </w:pPr>
      <w:r>
        <w:rPr>
          <w:b/>
          <w:smallCaps/>
          <w:sz w:val="28"/>
        </w:rPr>
        <w:t>Deliverables for the y</w:t>
      </w:r>
      <w:r w:rsidRPr="001D29A0">
        <w:rPr>
          <w:b/>
          <w:smallCaps/>
          <w:sz w:val="28"/>
        </w:rPr>
        <w:t>ear 2014</w:t>
      </w:r>
    </w:p>
    <w:p w:rsidR="000E1839" w:rsidRDefault="000E1839">
      <w:pPr>
        <w:rPr>
          <w:b/>
          <w:smallCaps/>
          <w:sz w:val="28"/>
        </w:rPr>
      </w:pPr>
      <w:r>
        <w:rPr>
          <w:b/>
          <w:smallCaps/>
          <w:sz w:val="28"/>
        </w:rPr>
        <w:br w:type="page"/>
      </w:r>
    </w:p>
    <w:p w:rsidR="000E1839" w:rsidRDefault="000E1839" w:rsidP="000E1839"/>
    <w:p w:rsidR="000E1839" w:rsidRDefault="000E1839" w:rsidP="000E1839">
      <w:pPr>
        <w:jc w:val="center"/>
        <w:rPr>
          <w:b/>
          <w:smallCaps/>
          <w:sz w:val="28"/>
        </w:rPr>
      </w:pPr>
      <w:r w:rsidRPr="004C07B3">
        <w:rPr>
          <w:b/>
          <w:smallCaps/>
          <w:sz w:val="28"/>
        </w:rPr>
        <w:t xml:space="preserve">Terms of </w:t>
      </w:r>
      <w:r>
        <w:rPr>
          <w:b/>
          <w:smallCaps/>
          <w:sz w:val="28"/>
        </w:rPr>
        <w:t>R</w:t>
      </w:r>
      <w:r w:rsidRPr="004C07B3">
        <w:rPr>
          <w:b/>
          <w:smallCaps/>
          <w:sz w:val="28"/>
        </w:rPr>
        <w:t xml:space="preserve">eference </w:t>
      </w:r>
      <w:r w:rsidRPr="004C07B3">
        <w:rPr>
          <w:b/>
          <w:smallCaps/>
          <w:sz w:val="28"/>
        </w:rPr>
        <w:br/>
      </w:r>
      <w:r>
        <w:rPr>
          <w:b/>
          <w:smallCaps/>
          <w:sz w:val="28"/>
        </w:rPr>
        <w:t>IT Management and Governance</w:t>
      </w:r>
      <w:r w:rsidRPr="004C07B3">
        <w:rPr>
          <w:b/>
          <w:smallCaps/>
          <w:sz w:val="28"/>
        </w:rPr>
        <w:t xml:space="preserve"> Task Force</w:t>
      </w:r>
    </w:p>
    <w:p w:rsidR="000E1839" w:rsidRPr="004C07B3" w:rsidRDefault="000E1839" w:rsidP="000E1839">
      <w:pPr>
        <w:jc w:val="center"/>
        <w:rPr>
          <w:b/>
          <w:smallCaps/>
          <w:sz w:val="28"/>
        </w:rPr>
      </w:pPr>
    </w:p>
    <w:p w:rsidR="000E1839" w:rsidRPr="00905ADA" w:rsidRDefault="000E1839" w:rsidP="000E1839">
      <w:pPr>
        <w:jc w:val="both"/>
        <w:rPr>
          <w:b/>
        </w:rPr>
      </w:pPr>
      <w:r w:rsidRPr="00905ADA">
        <w:rPr>
          <w:b/>
        </w:rPr>
        <w:t>Background</w:t>
      </w:r>
    </w:p>
    <w:p w:rsidR="000E1839" w:rsidRDefault="000E1839" w:rsidP="000E1839">
      <w:pPr>
        <w:jc w:val="both"/>
      </w:pPr>
      <w:r>
        <w:t xml:space="preserve">The Agency’s Market Integrity and Transparency Working Group (‘AMIT WG’) was established by Director Decision 2012-05 in order to support the Agency in the implementation of Regulation (EU) No. 1227/2011 (‘REMIT’). The competences to implement, apply and enforce REMIT are shared between the Agency and NRAs. Close cooperation is therefore </w:t>
      </w:r>
      <w:proofErr w:type="gramStart"/>
      <w:r>
        <w:t>key</w:t>
      </w:r>
      <w:proofErr w:type="gramEnd"/>
      <w:r>
        <w:t xml:space="preserve"> to the successful implementation of REMIT and the effective monitoring of wholesale energy markets, and</w:t>
      </w:r>
      <w:r w:rsidR="00F2617F">
        <w:t xml:space="preserve"> it is necessary to ensure </w:t>
      </w:r>
      <w:r>
        <w:t xml:space="preserve">a consistent approach in the application of REMIT throughout the Union. </w:t>
      </w:r>
    </w:p>
    <w:p w:rsidR="000E1839" w:rsidRDefault="000E1839" w:rsidP="000E1839">
      <w:pPr>
        <w:jc w:val="both"/>
      </w:pPr>
      <w:r>
        <w:t xml:space="preserve">The rules on the functioning of the Agency Working Groups (‘AWG’) are laid down by Director Decision 2012-06, which provides that </w:t>
      </w:r>
      <w:r w:rsidRPr="00905ADA">
        <w:t>the objectives, deliverables, milestones and deadlines for the activities of the AWGs</w:t>
      </w:r>
      <w:r>
        <w:t xml:space="preserve"> shall be determined </w:t>
      </w:r>
      <w:commentRangeStart w:id="4"/>
      <w:r>
        <w:t>by the Director</w:t>
      </w:r>
      <w:r w:rsidRPr="00905ADA">
        <w:t xml:space="preserve">, </w:t>
      </w:r>
      <w:commentRangeEnd w:id="4"/>
      <w:r>
        <w:rPr>
          <w:rStyle w:val="CommentReference"/>
        </w:rPr>
        <w:commentReference w:id="4"/>
      </w:r>
      <w:r w:rsidRPr="00905ADA">
        <w:t xml:space="preserve">after consulting the Chairperson(s) and taking the Agency's Work </w:t>
      </w:r>
      <w:proofErr w:type="spellStart"/>
      <w:r w:rsidRPr="00905ADA">
        <w:t>Programme</w:t>
      </w:r>
      <w:proofErr w:type="spellEnd"/>
      <w:r w:rsidRPr="00905ADA">
        <w:t xml:space="preserve"> into acco</w:t>
      </w:r>
      <w:r>
        <w:t xml:space="preserve">unt. Decision 2012-06 also foresees the possibility for the AWG to create Task Forces (‘TF’) if it considers it appropriate. </w:t>
      </w:r>
    </w:p>
    <w:p w:rsidR="000E1839" w:rsidRDefault="000E1839" w:rsidP="000E1839">
      <w:pPr>
        <w:jc w:val="both"/>
      </w:pPr>
      <w:r>
        <w:t xml:space="preserve">The </w:t>
      </w:r>
      <w:r w:rsidR="00210D6E">
        <w:t>IT Management and Governance Task Force (ITMG</w:t>
      </w:r>
      <w:r>
        <w:t xml:space="preserve"> TF) is one of the TFs created at the initiative of the AMIT Chairperson. </w:t>
      </w:r>
    </w:p>
    <w:p w:rsidR="000E1839" w:rsidRDefault="000E1839" w:rsidP="000E1839">
      <w:pPr>
        <w:jc w:val="both"/>
      </w:pPr>
    </w:p>
    <w:p w:rsidR="000E1839" w:rsidRPr="00210D6E" w:rsidRDefault="000E1839" w:rsidP="000E1839">
      <w:pPr>
        <w:jc w:val="both"/>
        <w:rPr>
          <w:b/>
        </w:rPr>
      </w:pPr>
      <w:r w:rsidRPr="00210D6E">
        <w:rPr>
          <w:b/>
        </w:rPr>
        <w:t>Responsibilities</w:t>
      </w:r>
    </w:p>
    <w:p w:rsidR="00210D6E" w:rsidRPr="00210D6E" w:rsidRDefault="00210D6E" w:rsidP="00210D6E">
      <w:pPr>
        <w:jc w:val="both"/>
      </w:pPr>
      <w:r w:rsidRPr="00210D6E">
        <w:t>The ITMG</w:t>
      </w:r>
      <w:r w:rsidRPr="00210D6E">
        <w:t xml:space="preserve"> TF deals with IT-specific topics concerning the establishment ARIS system and coordinates and steers the IT project management activities across the NRAs. In particular it assists the Agency in:</w:t>
      </w:r>
    </w:p>
    <w:p w:rsidR="00210D6E" w:rsidRPr="00210D6E" w:rsidRDefault="00210D6E" w:rsidP="00210D6E">
      <w:pPr>
        <w:pStyle w:val="ListParagraph"/>
        <w:numPr>
          <w:ilvl w:val="0"/>
          <w:numId w:val="9"/>
        </w:numPr>
        <w:jc w:val="both"/>
      </w:pPr>
      <w:r w:rsidRPr="00210D6E">
        <w:t>the development, testing and deployment of the IT system for the registration of market participants;</w:t>
      </w:r>
    </w:p>
    <w:p w:rsidR="00210D6E" w:rsidRPr="00210D6E" w:rsidRDefault="00210D6E" w:rsidP="00210D6E">
      <w:pPr>
        <w:pStyle w:val="ListParagraph"/>
        <w:numPr>
          <w:ilvl w:val="0"/>
          <w:numId w:val="9"/>
        </w:numPr>
        <w:jc w:val="both"/>
      </w:pPr>
      <w:r w:rsidRPr="00210D6E">
        <w:t xml:space="preserve">the development, testing and deployment of the IT system for </w:t>
      </w:r>
      <w:r w:rsidRPr="00210D6E">
        <w:t>the collection of trade and fundamental data;</w:t>
      </w:r>
    </w:p>
    <w:p w:rsidR="00210D6E" w:rsidRPr="00210D6E" w:rsidRDefault="00210D6E" w:rsidP="00210D6E">
      <w:pPr>
        <w:pStyle w:val="ListParagraph"/>
        <w:numPr>
          <w:ilvl w:val="0"/>
          <w:numId w:val="9"/>
        </w:numPr>
        <w:jc w:val="both"/>
      </w:pPr>
      <w:r w:rsidRPr="00210D6E">
        <w:t xml:space="preserve">the development, testing and deployment of the IT system for the </w:t>
      </w:r>
      <w:r w:rsidRPr="00210D6E">
        <w:t>transmission and publication of data collected by the Agency under REMIT;</w:t>
      </w:r>
    </w:p>
    <w:p w:rsidR="00210D6E" w:rsidRPr="00210D6E" w:rsidRDefault="00210D6E" w:rsidP="00210D6E">
      <w:pPr>
        <w:pStyle w:val="ListParagraph"/>
        <w:numPr>
          <w:ilvl w:val="0"/>
          <w:numId w:val="9"/>
        </w:numPr>
        <w:jc w:val="both"/>
      </w:pPr>
      <w:r w:rsidRPr="00210D6E">
        <w:t xml:space="preserve">the definition of </w:t>
      </w:r>
      <w:r w:rsidRPr="00210D6E">
        <w:t>data formats and data transmission protocols for secure and reliable exchange of data</w:t>
      </w:r>
      <w:r w:rsidRPr="00210D6E">
        <w:t>;</w:t>
      </w:r>
    </w:p>
    <w:p w:rsidR="00210D6E" w:rsidRPr="00210D6E" w:rsidRDefault="00210D6E" w:rsidP="00210D6E">
      <w:pPr>
        <w:pStyle w:val="ListParagraph"/>
        <w:numPr>
          <w:ilvl w:val="0"/>
          <w:numId w:val="9"/>
        </w:numPr>
        <w:jc w:val="both"/>
      </w:pPr>
      <w:r w:rsidRPr="00210D6E">
        <w:t>the d</w:t>
      </w:r>
      <w:r w:rsidR="00F2617F" w:rsidRPr="00210D6E">
        <w:t xml:space="preserve">efining access </w:t>
      </w:r>
      <w:r w:rsidRPr="00210D6E">
        <w:t xml:space="preserve">of </w:t>
      </w:r>
      <w:r w:rsidR="00F2617F" w:rsidRPr="00210D6E">
        <w:t>techniques and developing role based access right models for different groups and stakeholders</w:t>
      </w:r>
      <w:r w:rsidRPr="00210D6E">
        <w:t>;</w:t>
      </w:r>
    </w:p>
    <w:p w:rsidR="00210D6E" w:rsidRPr="00210D6E" w:rsidRDefault="00210D6E" w:rsidP="00210D6E">
      <w:pPr>
        <w:pStyle w:val="ListParagraph"/>
        <w:numPr>
          <w:ilvl w:val="0"/>
          <w:numId w:val="9"/>
        </w:numPr>
        <w:jc w:val="both"/>
      </w:pPr>
      <w:r w:rsidRPr="00210D6E">
        <w:t>the drafting of recommendations on s</w:t>
      </w:r>
      <w:r w:rsidR="00F2617F" w:rsidRPr="00210D6E">
        <w:t>ystem architecture recommendations with focus on good interaction between the Agency, NRAs, market participants and other entities like ESMA</w:t>
      </w:r>
      <w:r w:rsidR="00F2617F">
        <w:t>;</w:t>
      </w:r>
    </w:p>
    <w:p w:rsidR="00000000" w:rsidRPr="00210D6E" w:rsidRDefault="00210D6E" w:rsidP="00210D6E">
      <w:pPr>
        <w:pStyle w:val="ListParagraph"/>
        <w:numPr>
          <w:ilvl w:val="0"/>
          <w:numId w:val="9"/>
        </w:numPr>
        <w:jc w:val="both"/>
      </w:pPr>
      <w:proofErr w:type="gramStart"/>
      <w:r w:rsidRPr="00210D6E">
        <w:lastRenderedPageBreak/>
        <w:t>the</w:t>
      </w:r>
      <w:proofErr w:type="gramEnd"/>
      <w:r w:rsidRPr="00210D6E">
        <w:t xml:space="preserve"> coordination</w:t>
      </w:r>
      <w:r w:rsidR="00F2617F" w:rsidRPr="00210D6E">
        <w:t xml:space="preserve"> of pan-European project dependencies for both NRAs and market participants</w:t>
      </w:r>
      <w:r w:rsidR="00F2617F">
        <w:t>.</w:t>
      </w:r>
    </w:p>
    <w:p w:rsidR="00000000" w:rsidRDefault="00F2617F" w:rsidP="00210D6E">
      <w:pPr>
        <w:jc w:val="both"/>
      </w:pPr>
      <w:r>
        <w:t xml:space="preserve">The </w:t>
      </w:r>
      <w:bookmarkStart w:id="5" w:name="_GoBack"/>
      <w:bookmarkEnd w:id="5"/>
      <w:r w:rsidR="00210D6E" w:rsidRPr="00210D6E">
        <w:t xml:space="preserve">ITMG TF </w:t>
      </w:r>
      <w:r w:rsidR="00210D6E" w:rsidRPr="00210D6E">
        <w:t>r</w:t>
      </w:r>
      <w:r w:rsidRPr="00210D6E">
        <w:t>eceives expert advice from the</w:t>
      </w:r>
      <w:r w:rsidR="00210D6E" w:rsidRPr="00210D6E">
        <w:t xml:space="preserve"> Ad hoc IT Expert Group, whose members are IT </w:t>
      </w:r>
      <w:r w:rsidRPr="00210D6E">
        <w:t>experts from market participants</w:t>
      </w:r>
      <w:r w:rsidR="00210D6E" w:rsidRPr="00210D6E">
        <w:t>.</w:t>
      </w:r>
    </w:p>
    <w:p w:rsidR="00F2617F" w:rsidRDefault="00F2617F" w:rsidP="00F2617F">
      <w:pPr>
        <w:jc w:val="both"/>
      </w:pPr>
      <w:r>
        <w:t>The deliverables, milestones and deadlines for the</w:t>
      </w:r>
      <w:r>
        <w:t xml:space="preserve"> ITMG</w:t>
      </w:r>
      <w:r>
        <w:t xml:space="preserve"> TF are determined, within its area of responsibility, on the basis of the Agency’s </w:t>
      </w:r>
      <w:commentRangeStart w:id="6"/>
      <w:r>
        <w:t xml:space="preserve">Work </w:t>
      </w:r>
      <w:proofErr w:type="spellStart"/>
      <w:r>
        <w:t>Programme</w:t>
      </w:r>
      <w:proofErr w:type="spellEnd"/>
      <w:r>
        <w:t xml:space="preserve">. </w:t>
      </w:r>
      <w:commentRangeEnd w:id="6"/>
      <w:r>
        <w:rPr>
          <w:rStyle w:val="CommentReference"/>
        </w:rPr>
        <w:commentReference w:id="6"/>
      </w:r>
    </w:p>
    <w:p w:rsidR="00F2617F" w:rsidRPr="00210D6E" w:rsidRDefault="00F2617F" w:rsidP="00210D6E">
      <w:pPr>
        <w:jc w:val="both"/>
      </w:pPr>
    </w:p>
    <w:p w:rsidR="00210D6E" w:rsidRDefault="00210D6E">
      <w:r>
        <w:br w:type="page"/>
      </w:r>
    </w:p>
    <w:p w:rsidR="00210D6E" w:rsidRDefault="00210D6E" w:rsidP="00210D6E">
      <w:pPr>
        <w:jc w:val="both"/>
      </w:pPr>
      <w:r>
        <w:rPr>
          <w:b/>
          <w:smallCaps/>
          <w:sz w:val="28"/>
        </w:rPr>
        <w:lastRenderedPageBreak/>
        <w:t xml:space="preserve">Annex I to the </w:t>
      </w:r>
      <w:r w:rsidRPr="004C07B3">
        <w:rPr>
          <w:b/>
          <w:smallCaps/>
          <w:sz w:val="28"/>
        </w:rPr>
        <w:t xml:space="preserve">Terms of </w:t>
      </w:r>
      <w:r>
        <w:rPr>
          <w:b/>
          <w:smallCaps/>
          <w:sz w:val="28"/>
        </w:rPr>
        <w:t>R</w:t>
      </w:r>
      <w:r w:rsidRPr="004C07B3">
        <w:rPr>
          <w:b/>
          <w:smallCaps/>
          <w:sz w:val="28"/>
        </w:rPr>
        <w:t xml:space="preserve">eference </w:t>
      </w:r>
      <w:r>
        <w:rPr>
          <w:b/>
          <w:smallCaps/>
          <w:sz w:val="28"/>
        </w:rPr>
        <w:t>- IT Management and Governance</w:t>
      </w:r>
      <w:r w:rsidRPr="004C07B3">
        <w:rPr>
          <w:b/>
          <w:smallCaps/>
          <w:sz w:val="28"/>
        </w:rPr>
        <w:t xml:space="preserve"> Task Force</w:t>
      </w:r>
    </w:p>
    <w:p w:rsidR="00210D6E" w:rsidRDefault="00210D6E" w:rsidP="00210D6E">
      <w:pPr>
        <w:jc w:val="center"/>
        <w:rPr>
          <w:b/>
          <w:smallCaps/>
          <w:sz w:val="28"/>
        </w:rPr>
      </w:pPr>
      <w:r>
        <w:rPr>
          <w:b/>
          <w:smallCaps/>
          <w:sz w:val="28"/>
        </w:rPr>
        <w:t>Deliverables for the y</w:t>
      </w:r>
      <w:r w:rsidRPr="001D29A0">
        <w:rPr>
          <w:b/>
          <w:smallCaps/>
          <w:sz w:val="28"/>
        </w:rPr>
        <w:t>ear 2014</w:t>
      </w:r>
    </w:p>
    <w:p w:rsidR="004C07B3" w:rsidRDefault="004C07B3" w:rsidP="009033F2"/>
    <w:sectPr w:rsidR="004C07B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maria MARCHI (ACER)" w:date="2014-01-24T15:35:00Z" w:initials="AM(">
    <w:p w:rsidR="00905ADA" w:rsidRDefault="00905ADA">
      <w:pPr>
        <w:pStyle w:val="CommentText"/>
      </w:pPr>
      <w:r>
        <w:rPr>
          <w:rStyle w:val="CommentReference"/>
        </w:rPr>
        <w:annotationRef/>
      </w:r>
      <w:r>
        <w:t>Shall I leave this? It is stated in the decision but I am not sure if they will appreciate it. I made a reference to this provision to have a link with the WP</w:t>
      </w:r>
    </w:p>
  </w:comment>
  <w:comment w:id="1" w:author="Annamaria MARCHI (ACER)" w:date="2014-01-24T15:38:00Z" w:initials="AM(">
    <w:p w:rsidR="001D29A0" w:rsidRDefault="001D29A0">
      <w:pPr>
        <w:pStyle w:val="CommentText"/>
      </w:pPr>
      <w:r>
        <w:rPr>
          <w:rStyle w:val="CommentReference"/>
        </w:rPr>
        <w:annotationRef/>
      </w:r>
      <w:r>
        <w:t xml:space="preserve">See next page </w:t>
      </w:r>
    </w:p>
  </w:comment>
  <w:comment w:id="2" w:author="Annamaria MARCHI (ACER)" w:date="2014-01-24T15:39:00Z" w:initials="AM(">
    <w:p w:rsidR="001D29A0" w:rsidRDefault="001D29A0" w:rsidP="001D29A0">
      <w:pPr>
        <w:pStyle w:val="CommentText"/>
      </w:pPr>
      <w:r>
        <w:rPr>
          <w:rStyle w:val="CommentReference"/>
        </w:rPr>
        <w:annotationRef/>
      </w:r>
      <w:r>
        <w:t>Shall I leave this? It is stated in the decision but I am not sure if they will appreciate it. I made a reference to this provision to have a link with the WP</w:t>
      </w:r>
    </w:p>
  </w:comment>
  <w:comment w:id="3" w:author="Annamaria MARCHI (ACER)" w:date="2014-01-24T16:09:00Z" w:initials="AM(">
    <w:p w:rsidR="00F2617F" w:rsidRDefault="00F2617F" w:rsidP="00F2617F">
      <w:pPr>
        <w:pStyle w:val="CommentText"/>
      </w:pPr>
      <w:r>
        <w:rPr>
          <w:rStyle w:val="CommentReference"/>
        </w:rPr>
        <w:annotationRef/>
      </w:r>
      <w:r>
        <w:t xml:space="preserve">See next page </w:t>
      </w:r>
    </w:p>
  </w:comment>
  <w:comment w:id="4" w:author="Annamaria MARCHI (ACER)" w:date="2014-01-24T15:55:00Z" w:initials="AM(">
    <w:p w:rsidR="000E1839" w:rsidRDefault="000E1839" w:rsidP="000E1839">
      <w:pPr>
        <w:pStyle w:val="CommentText"/>
      </w:pPr>
      <w:r>
        <w:rPr>
          <w:rStyle w:val="CommentReference"/>
        </w:rPr>
        <w:annotationRef/>
      </w:r>
      <w:r>
        <w:t>Shall I leave this? It is stated in the decision but I am not sure if they will appreciate it. I made a reference to this provision to have a link with the WP</w:t>
      </w:r>
    </w:p>
  </w:comment>
  <w:comment w:id="6" w:author="Annamaria MARCHI (ACER)" w:date="2014-01-24T16:11:00Z" w:initials="AM(">
    <w:p w:rsidR="00F2617F" w:rsidRDefault="00F2617F" w:rsidP="00F2617F">
      <w:pPr>
        <w:pStyle w:val="CommentText"/>
      </w:pPr>
      <w:r>
        <w:rPr>
          <w:rStyle w:val="CommentReference"/>
        </w:rPr>
        <w:annotationRef/>
      </w:r>
      <w:r>
        <w:t xml:space="preserve">See next page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3" w:rsidRDefault="004C07B3" w:rsidP="004C07B3">
      <w:pPr>
        <w:spacing w:after="0" w:line="240" w:lineRule="auto"/>
      </w:pPr>
      <w:r>
        <w:separator/>
      </w:r>
    </w:p>
  </w:endnote>
  <w:endnote w:type="continuationSeparator" w:id="0">
    <w:p w:rsidR="004C07B3" w:rsidRDefault="004C07B3" w:rsidP="004C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3" w:rsidRDefault="004C07B3" w:rsidP="004C07B3">
      <w:pPr>
        <w:spacing w:after="0" w:line="240" w:lineRule="auto"/>
      </w:pPr>
      <w:r>
        <w:separator/>
      </w:r>
    </w:p>
  </w:footnote>
  <w:footnote w:type="continuationSeparator" w:id="0">
    <w:p w:rsidR="004C07B3" w:rsidRDefault="004C07B3" w:rsidP="004C0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3" w:rsidRDefault="004C07B3">
    <w:pPr>
      <w:pStyle w:val="Header"/>
    </w:pPr>
    <w:r>
      <w:rPr>
        <w:noProof/>
      </w:rPr>
      <w:drawing>
        <wp:anchor distT="0" distB="0" distL="114300" distR="114300" simplePos="0" relativeHeight="251659264" behindDoc="1" locked="0" layoutInCell="1" allowOverlap="1" wp14:anchorId="213D6F4E" wp14:editId="4CE3C460">
          <wp:simplePos x="0" y="0"/>
          <wp:positionH relativeFrom="column">
            <wp:posOffset>-415636</wp:posOffset>
          </wp:positionH>
          <wp:positionV relativeFrom="paragraph">
            <wp:posOffset>-159326</wp:posOffset>
          </wp:positionV>
          <wp:extent cx="1094509" cy="502762"/>
          <wp:effectExtent l="0" t="0" r="0" b="0"/>
          <wp:wrapNone/>
          <wp:docPr id="1" name="Picture 1" descr="Description: 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er_logo-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19" cy="5031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7B3" w:rsidRDefault="004C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4B8"/>
    <w:multiLevelType w:val="hybridMultilevel"/>
    <w:tmpl w:val="094888C4"/>
    <w:lvl w:ilvl="0" w:tplc="6616BAAE">
      <w:start w:val="1"/>
      <w:numFmt w:val="bullet"/>
      <w:lvlText w:val="."/>
      <w:lvlJc w:val="left"/>
      <w:pPr>
        <w:tabs>
          <w:tab w:val="num" w:pos="720"/>
        </w:tabs>
        <w:ind w:left="720" w:hanging="360"/>
      </w:pPr>
      <w:rPr>
        <w:rFonts w:ascii="Trebuchet MS" w:hAnsi="Trebuchet MS" w:hint="default"/>
      </w:rPr>
    </w:lvl>
    <w:lvl w:ilvl="1" w:tplc="434E9D2C">
      <w:numFmt w:val="bullet"/>
      <w:lvlText w:val="»"/>
      <w:lvlJc w:val="left"/>
      <w:pPr>
        <w:tabs>
          <w:tab w:val="num" w:pos="1440"/>
        </w:tabs>
        <w:ind w:left="1440" w:hanging="360"/>
      </w:pPr>
      <w:rPr>
        <w:rFonts w:ascii="Trebuchet MS" w:hAnsi="Trebuchet MS" w:hint="default"/>
      </w:rPr>
    </w:lvl>
    <w:lvl w:ilvl="2" w:tplc="35E01C56" w:tentative="1">
      <w:start w:val="1"/>
      <w:numFmt w:val="bullet"/>
      <w:lvlText w:val="."/>
      <w:lvlJc w:val="left"/>
      <w:pPr>
        <w:tabs>
          <w:tab w:val="num" w:pos="2160"/>
        </w:tabs>
        <w:ind w:left="2160" w:hanging="360"/>
      </w:pPr>
      <w:rPr>
        <w:rFonts w:ascii="Trebuchet MS" w:hAnsi="Trebuchet MS" w:hint="default"/>
      </w:rPr>
    </w:lvl>
    <w:lvl w:ilvl="3" w:tplc="8B863768" w:tentative="1">
      <w:start w:val="1"/>
      <w:numFmt w:val="bullet"/>
      <w:lvlText w:val="."/>
      <w:lvlJc w:val="left"/>
      <w:pPr>
        <w:tabs>
          <w:tab w:val="num" w:pos="2880"/>
        </w:tabs>
        <w:ind w:left="2880" w:hanging="360"/>
      </w:pPr>
      <w:rPr>
        <w:rFonts w:ascii="Trebuchet MS" w:hAnsi="Trebuchet MS" w:hint="default"/>
      </w:rPr>
    </w:lvl>
    <w:lvl w:ilvl="4" w:tplc="EF9A75B2" w:tentative="1">
      <w:start w:val="1"/>
      <w:numFmt w:val="bullet"/>
      <w:lvlText w:val="."/>
      <w:lvlJc w:val="left"/>
      <w:pPr>
        <w:tabs>
          <w:tab w:val="num" w:pos="3600"/>
        </w:tabs>
        <w:ind w:left="3600" w:hanging="360"/>
      </w:pPr>
      <w:rPr>
        <w:rFonts w:ascii="Trebuchet MS" w:hAnsi="Trebuchet MS" w:hint="default"/>
      </w:rPr>
    </w:lvl>
    <w:lvl w:ilvl="5" w:tplc="88AA7ABC" w:tentative="1">
      <w:start w:val="1"/>
      <w:numFmt w:val="bullet"/>
      <w:lvlText w:val="."/>
      <w:lvlJc w:val="left"/>
      <w:pPr>
        <w:tabs>
          <w:tab w:val="num" w:pos="4320"/>
        </w:tabs>
        <w:ind w:left="4320" w:hanging="360"/>
      </w:pPr>
      <w:rPr>
        <w:rFonts w:ascii="Trebuchet MS" w:hAnsi="Trebuchet MS" w:hint="default"/>
      </w:rPr>
    </w:lvl>
    <w:lvl w:ilvl="6" w:tplc="021678F6" w:tentative="1">
      <w:start w:val="1"/>
      <w:numFmt w:val="bullet"/>
      <w:lvlText w:val="."/>
      <w:lvlJc w:val="left"/>
      <w:pPr>
        <w:tabs>
          <w:tab w:val="num" w:pos="5040"/>
        </w:tabs>
        <w:ind w:left="5040" w:hanging="360"/>
      </w:pPr>
      <w:rPr>
        <w:rFonts w:ascii="Trebuchet MS" w:hAnsi="Trebuchet MS" w:hint="default"/>
      </w:rPr>
    </w:lvl>
    <w:lvl w:ilvl="7" w:tplc="073CCDC6" w:tentative="1">
      <w:start w:val="1"/>
      <w:numFmt w:val="bullet"/>
      <w:lvlText w:val="."/>
      <w:lvlJc w:val="left"/>
      <w:pPr>
        <w:tabs>
          <w:tab w:val="num" w:pos="5760"/>
        </w:tabs>
        <w:ind w:left="5760" w:hanging="360"/>
      </w:pPr>
      <w:rPr>
        <w:rFonts w:ascii="Trebuchet MS" w:hAnsi="Trebuchet MS" w:hint="default"/>
      </w:rPr>
    </w:lvl>
    <w:lvl w:ilvl="8" w:tplc="E3BA125C" w:tentative="1">
      <w:start w:val="1"/>
      <w:numFmt w:val="bullet"/>
      <w:lvlText w:val="."/>
      <w:lvlJc w:val="left"/>
      <w:pPr>
        <w:tabs>
          <w:tab w:val="num" w:pos="6480"/>
        </w:tabs>
        <w:ind w:left="6480" w:hanging="360"/>
      </w:pPr>
      <w:rPr>
        <w:rFonts w:ascii="Trebuchet MS" w:hAnsi="Trebuchet MS" w:hint="default"/>
      </w:rPr>
    </w:lvl>
  </w:abstractNum>
  <w:abstractNum w:abstractNumId="1">
    <w:nsid w:val="15F930A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C40883"/>
    <w:multiLevelType w:val="hybridMultilevel"/>
    <w:tmpl w:val="8722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869B9"/>
    <w:multiLevelType w:val="hybridMultilevel"/>
    <w:tmpl w:val="6F9AFF34"/>
    <w:lvl w:ilvl="0" w:tplc="335A5ED4">
      <w:start w:val="1"/>
      <w:numFmt w:val="bullet"/>
      <w:lvlText w:val="."/>
      <w:lvlJc w:val="left"/>
      <w:pPr>
        <w:tabs>
          <w:tab w:val="num" w:pos="720"/>
        </w:tabs>
        <w:ind w:left="720" w:hanging="360"/>
      </w:pPr>
      <w:rPr>
        <w:rFonts w:ascii="Trebuchet MS" w:hAnsi="Trebuchet MS" w:hint="default"/>
      </w:rPr>
    </w:lvl>
    <w:lvl w:ilvl="1" w:tplc="657E0A9C">
      <w:numFmt w:val="bullet"/>
      <w:lvlText w:val="»"/>
      <w:lvlJc w:val="left"/>
      <w:pPr>
        <w:tabs>
          <w:tab w:val="num" w:pos="1440"/>
        </w:tabs>
        <w:ind w:left="1440" w:hanging="360"/>
      </w:pPr>
      <w:rPr>
        <w:rFonts w:ascii="Trebuchet MS" w:hAnsi="Trebuchet MS" w:hint="default"/>
      </w:rPr>
    </w:lvl>
    <w:lvl w:ilvl="2" w:tplc="79D45994" w:tentative="1">
      <w:start w:val="1"/>
      <w:numFmt w:val="bullet"/>
      <w:lvlText w:val="."/>
      <w:lvlJc w:val="left"/>
      <w:pPr>
        <w:tabs>
          <w:tab w:val="num" w:pos="2160"/>
        </w:tabs>
        <w:ind w:left="2160" w:hanging="360"/>
      </w:pPr>
      <w:rPr>
        <w:rFonts w:ascii="Trebuchet MS" w:hAnsi="Trebuchet MS" w:hint="default"/>
      </w:rPr>
    </w:lvl>
    <w:lvl w:ilvl="3" w:tplc="18F26AD6" w:tentative="1">
      <w:start w:val="1"/>
      <w:numFmt w:val="bullet"/>
      <w:lvlText w:val="."/>
      <w:lvlJc w:val="left"/>
      <w:pPr>
        <w:tabs>
          <w:tab w:val="num" w:pos="2880"/>
        </w:tabs>
        <w:ind w:left="2880" w:hanging="360"/>
      </w:pPr>
      <w:rPr>
        <w:rFonts w:ascii="Trebuchet MS" w:hAnsi="Trebuchet MS" w:hint="default"/>
      </w:rPr>
    </w:lvl>
    <w:lvl w:ilvl="4" w:tplc="238ACF7C" w:tentative="1">
      <w:start w:val="1"/>
      <w:numFmt w:val="bullet"/>
      <w:lvlText w:val="."/>
      <w:lvlJc w:val="left"/>
      <w:pPr>
        <w:tabs>
          <w:tab w:val="num" w:pos="3600"/>
        </w:tabs>
        <w:ind w:left="3600" w:hanging="360"/>
      </w:pPr>
      <w:rPr>
        <w:rFonts w:ascii="Trebuchet MS" w:hAnsi="Trebuchet MS" w:hint="default"/>
      </w:rPr>
    </w:lvl>
    <w:lvl w:ilvl="5" w:tplc="5726DB6E" w:tentative="1">
      <w:start w:val="1"/>
      <w:numFmt w:val="bullet"/>
      <w:lvlText w:val="."/>
      <w:lvlJc w:val="left"/>
      <w:pPr>
        <w:tabs>
          <w:tab w:val="num" w:pos="4320"/>
        </w:tabs>
        <w:ind w:left="4320" w:hanging="360"/>
      </w:pPr>
      <w:rPr>
        <w:rFonts w:ascii="Trebuchet MS" w:hAnsi="Trebuchet MS" w:hint="default"/>
      </w:rPr>
    </w:lvl>
    <w:lvl w:ilvl="6" w:tplc="C41275D8" w:tentative="1">
      <w:start w:val="1"/>
      <w:numFmt w:val="bullet"/>
      <w:lvlText w:val="."/>
      <w:lvlJc w:val="left"/>
      <w:pPr>
        <w:tabs>
          <w:tab w:val="num" w:pos="5040"/>
        </w:tabs>
        <w:ind w:left="5040" w:hanging="360"/>
      </w:pPr>
      <w:rPr>
        <w:rFonts w:ascii="Trebuchet MS" w:hAnsi="Trebuchet MS" w:hint="default"/>
      </w:rPr>
    </w:lvl>
    <w:lvl w:ilvl="7" w:tplc="50506012" w:tentative="1">
      <w:start w:val="1"/>
      <w:numFmt w:val="bullet"/>
      <w:lvlText w:val="."/>
      <w:lvlJc w:val="left"/>
      <w:pPr>
        <w:tabs>
          <w:tab w:val="num" w:pos="5760"/>
        </w:tabs>
        <w:ind w:left="5760" w:hanging="360"/>
      </w:pPr>
      <w:rPr>
        <w:rFonts w:ascii="Trebuchet MS" w:hAnsi="Trebuchet MS" w:hint="default"/>
      </w:rPr>
    </w:lvl>
    <w:lvl w:ilvl="8" w:tplc="2E94378E" w:tentative="1">
      <w:start w:val="1"/>
      <w:numFmt w:val="bullet"/>
      <w:lvlText w:val="."/>
      <w:lvlJc w:val="left"/>
      <w:pPr>
        <w:tabs>
          <w:tab w:val="num" w:pos="6480"/>
        </w:tabs>
        <w:ind w:left="6480" w:hanging="360"/>
      </w:pPr>
      <w:rPr>
        <w:rFonts w:ascii="Trebuchet MS" w:hAnsi="Trebuchet MS" w:hint="default"/>
      </w:rPr>
    </w:lvl>
  </w:abstractNum>
  <w:abstractNum w:abstractNumId="4">
    <w:nsid w:val="2CF26E30"/>
    <w:multiLevelType w:val="hybridMultilevel"/>
    <w:tmpl w:val="060A1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D0B4E"/>
    <w:multiLevelType w:val="hybridMultilevel"/>
    <w:tmpl w:val="DEB0B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B6DA6"/>
    <w:multiLevelType w:val="hybridMultilevel"/>
    <w:tmpl w:val="72C68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1561D"/>
    <w:multiLevelType w:val="hybridMultilevel"/>
    <w:tmpl w:val="9F9EDA2E"/>
    <w:lvl w:ilvl="0" w:tplc="BA167968">
      <w:start w:val="1"/>
      <w:numFmt w:val="bullet"/>
      <w:lvlText w:val="."/>
      <w:lvlJc w:val="left"/>
      <w:pPr>
        <w:tabs>
          <w:tab w:val="num" w:pos="720"/>
        </w:tabs>
        <w:ind w:left="720" w:hanging="360"/>
      </w:pPr>
      <w:rPr>
        <w:rFonts w:ascii="Trebuchet MS" w:hAnsi="Trebuchet MS" w:hint="default"/>
      </w:rPr>
    </w:lvl>
    <w:lvl w:ilvl="1" w:tplc="EDF43754">
      <w:numFmt w:val="bullet"/>
      <w:lvlText w:val="»"/>
      <w:lvlJc w:val="left"/>
      <w:pPr>
        <w:tabs>
          <w:tab w:val="num" w:pos="1440"/>
        </w:tabs>
        <w:ind w:left="1440" w:hanging="360"/>
      </w:pPr>
      <w:rPr>
        <w:rFonts w:ascii="Trebuchet MS" w:hAnsi="Trebuchet MS" w:hint="default"/>
      </w:rPr>
    </w:lvl>
    <w:lvl w:ilvl="2" w:tplc="DAD6CA2E" w:tentative="1">
      <w:start w:val="1"/>
      <w:numFmt w:val="bullet"/>
      <w:lvlText w:val="."/>
      <w:lvlJc w:val="left"/>
      <w:pPr>
        <w:tabs>
          <w:tab w:val="num" w:pos="2160"/>
        </w:tabs>
        <w:ind w:left="2160" w:hanging="360"/>
      </w:pPr>
      <w:rPr>
        <w:rFonts w:ascii="Trebuchet MS" w:hAnsi="Trebuchet MS" w:hint="default"/>
      </w:rPr>
    </w:lvl>
    <w:lvl w:ilvl="3" w:tplc="E4ECB384" w:tentative="1">
      <w:start w:val="1"/>
      <w:numFmt w:val="bullet"/>
      <w:lvlText w:val="."/>
      <w:lvlJc w:val="left"/>
      <w:pPr>
        <w:tabs>
          <w:tab w:val="num" w:pos="2880"/>
        </w:tabs>
        <w:ind w:left="2880" w:hanging="360"/>
      </w:pPr>
      <w:rPr>
        <w:rFonts w:ascii="Trebuchet MS" w:hAnsi="Trebuchet MS" w:hint="default"/>
      </w:rPr>
    </w:lvl>
    <w:lvl w:ilvl="4" w:tplc="6888C202" w:tentative="1">
      <w:start w:val="1"/>
      <w:numFmt w:val="bullet"/>
      <w:lvlText w:val="."/>
      <w:lvlJc w:val="left"/>
      <w:pPr>
        <w:tabs>
          <w:tab w:val="num" w:pos="3600"/>
        </w:tabs>
        <w:ind w:left="3600" w:hanging="360"/>
      </w:pPr>
      <w:rPr>
        <w:rFonts w:ascii="Trebuchet MS" w:hAnsi="Trebuchet MS" w:hint="default"/>
      </w:rPr>
    </w:lvl>
    <w:lvl w:ilvl="5" w:tplc="3A182E5A" w:tentative="1">
      <w:start w:val="1"/>
      <w:numFmt w:val="bullet"/>
      <w:lvlText w:val="."/>
      <w:lvlJc w:val="left"/>
      <w:pPr>
        <w:tabs>
          <w:tab w:val="num" w:pos="4320"/>
        </w:tabs>
        <w:ind w:left="4320" w:hanging="360"/>
      </w:pPr>
      <w:rPr>
        <w:rFonts w:ascii="Trebuchet MS" w:hAnsi="Trebuchet MS" w:hint="default"/>
      </w:rPr>
    </w:lvl>
    <w:lvl w:ilvl="6" w:tplc="AB08E59E" w:tentative="1">
      <w:start w:val="1"/>
      <w:numFmt w:val="bullet"/>
      <w:lvlText w:val="."/>
      <w:lvlJc w:val="left"/>
      <w:pPr>
        <w:tabs>
          <w:tab w:val="num" w:pos="5040"/>
        </w:tabs>
        <w:ind w:left="5040" w:hanging="360"/>
      </w:pPr>
      <w:rPr>
        <w:rFonts w:ascii="Trebuchet MS" w:hAnsi="Trebuchet MS" w:hint="default"/>
      </w:rPr>
    </w:lvl>
    <w:lvl w:ilvl="7" w:tplc="890280AC" w:tentative="1">
      <w:start w:val="1"/>
      <w:numFmt w:val="bullet"/>
      <w:lvlText w:val="."/>
      <w:lvlJc w:val="left"/>
      <w:pPr>
        <w:tabs>
          <w:tab w:val="num" w:pos="5760"/>
        </w:tabs>
        <w:ind w:left="5760" w:hanging="360"/>
      </w:pPr>
      <w:rPr>
        <w:rFonts w:ascii="Trebuchet MS" w:hAnsi="Trebuchet MS" w:hint="default"/>
      </w:rPr>
    </w:lvl>
    <w:lvl w:ilvl="8" w:tplc="E18E9A8A" w:tentative="1">
      <w:start w:val="1"/>
      <w:numFmt w:val="bullet"/>
      <w:lvlText w:val="."/>
      <w:lvlJc w:val="left"/>
      <w:pPr>
        <w:tabs>
          <w:tab w:val="num" w:pos="6480"/>
        </w:tabs>
        <w:ind w:left="6480" w:hanging="360"/>
      </w:pPr>
      <w:rPr>
        <w:rFonts w:ascii="Trebuchet MS" w:hAnsi="Trebuchet MS" w:hint="default"/>
      </w:rPr>
    </w:lvl>
  </w:abstractNum>
  <w:abstractNum w:abstractNumId="8">
    <w:nsid w:val="7B356D10"/>
    <w:multiLevelType w:val="hybridMultilevel"/>
    <w:tmpl w:val="D082B8FA"/>
    <w:lvl w:ilvl="0" w:tplc="B51ED1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7"/>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F2"/>
    <w:rsid w:val="000E1839"/>
    <w:rsid w:val="001D29A0"/>
    <w:rsid w:val="00210D6E"/>
    <w:rsid w:val="004C07B3"/>
    <w:rsid w:val="005C116A"/>
    <w:rsid w:val="00616D27"/>
    <w:rsid w:val="009033F2"/>
    <w:rsid w:val="00905ADA"/>
    <w:rsid w:val="00AA437C"/>
    <w:rsid w:val="00C80014"/>
    <w:rsid w:val="00E43E9A"/>
    <w:rsid w:val="00F2617F"/>
    <w:rsid w:val="00F3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F2"/>
    <w:pPr>
      <w:ind w:left="720"/>
      <w:contextualSpacing/>
    </w:pPr>
  </w:style>
  <w:style w:type="paragraph" w:customStyle="1" w:styleId="PargrafodaLista">
    <w:name w:val="Parágrafo da Lista"/>
    <w:basedOn w:val="Normal"/>
    <w:qFormat/>
    <w:rsid w:val="005C116A"/>
    <w:pPr>
      <w:ind w:left="720"/>
      <w:contextualSpacing/>
    </w:pPr>
    <w:rPr>
      <w:rFonts w:ascii="Calibri" w:eastAsia="Calibri" w:hAnsi="Calibri" w:cs="Times New Roman"/>
      <w:lang w:val="it-IT"/>
    </w:rPr>
  </w:style>
  <w:style w:type="paragraph" w:styleId="Header">
    <w:name w:val="header"/>
    <w:basedOn w:val="Normal"/>
    <w:link w:val="HeaderChar"/>
    <w:uiPriority w:val="99"/>
    <w:unhideWhenUsed/>
    <w:rsid w:val="004C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7B3"/>
  </w:style>
  <w:style w:type="paragraph" w:styleId="Footer">
    <w:name w:val="footer"/>
    <w:basedOn w:val="Normal"/>
    <w:link w:val="FooterChar"/>
    <w:uiPriority w:val="99"/>
    <w:unhideWhenUsed/>
    <w:rsid w:val="004C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7B3"/>
  </w:style>
  <w:style w:type="paragraph" w:styleId="BalloonText">
    <w:name w:val="Balloon Text"/>
    <w:basedOn w:val="Normal"/>
    <w:link w:val="BalloonTextChar"/>
    <w:uiPriority w:val="99"/>
    <w:semiHidden/>
    <w:unhideWhenUsed/>
    <w:rsid w:val="004C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B3"/>
    <w:rPr>
      <w:rFonts w:ascii="Tahoma" w:hAnsi="Tahoma" w:cs="Tahoma"/>
      <w:sz w:val="16"/>
      <w:szCs w:val="16"/>
    </w:rPr>
  </w:style>
  <w:style w:type="character" w:styleId="CommentReference">
    <w:name w:val="annotation reference"/>
    <w:basedOn w:val="DefaultParagraphFont"/>
    <w:uiPriority w:val="99"/>
    <w:semiHidden/>
    <w:unhideWhenUsed/>
    <w:rsid w:val="00905ADA"/>
    <w:rPr>
      <w:sz w:val="16"/>
      <w:szCs w:val="16"/>
    </w:rPr>
  </w:style>
  <w:style w:type="paragraph" w:styleId="CommentText">
    <w:name w:val="annotation text"/>
    <w:basedOn w:val="Normal"/>
    <w:link w:val="CommentTextChar"/>
    <w:uiPriority w:val="99"/>
    <w:semiHidden/>
    <w:unhideWhenUsed/>
    <w:rsid w:val="00905ADA"/>
    <w:pPr>
      <w:spacing w:line="240" w:lineRule="auto"/>
    </w:pPr>
    <w:rPr>
      <w:sz w:val="20"/>
      <w:szCs w:val="20"/>
    </w:rPr>
  </w:style>
  <w:style w:type="character" w:customStyle="1" w:styleId="CommentTextChar">
    <w:name w:val="Comment Text Char"/>
    <w:basedOn w:val="DefaultParagraphFont"/>
    <w:link w:val="CommentText"/>
    <w:uiPriority w:val="99"/>
    <w:semiHidden/>
    <w:rsid w:val="00905ADA"/>
    <w:rPr>
      <w:sz w:val="20"/>
      <w:szCs w:val="20"/>
    </w:rPr>
  </w:style>
  <w:style w:type="paragraph" w:styleId="CommentSubject">
    <w:name w:val="annotation subject"/>
    <w:basedOn w:val="CommentText"/>
    <w:next w:val="CommentText"/>
    <w:link w:val="CommentSubjectChar"/>
    <w:uiPriority w:val="99"/>
    <w:semiHidden/>
    <w:unhideWhenUsed/>
    <w:rsid w:val="00905ADA"/>
    <w:rPr>
      <w:b/>
      <w:bCs/>
    </w:rPr>
  </w:style>
  <w:style w:type="character" w:customStyle="1" w:styleId="CommentSubjectChar">
    <w:name w:val="Comment Subject Char"/>
    <w:basedOn w:val="CommentTextChar"/>
    <w:link w:val="CommentSubject"/>
    <w:uiPriority w:val="99"/>
    <w:semiHidden/>
    <w:rsid w:val="00905A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F2"/>
    <w:pPr>
      <w:ind w:left="720"/>
      <w:contextualSpacing/>
    </w:pPr>
  </w:style>
  <w:style w:type="paragraph" w:customStyle="1" w:styleId="PargrafodaLista">
    <w:name w:val="Parágrafo da Lista"/>
    <w:basedOn w:val="Normal"/>
    <w:qFormat/>
    <w:rsid w:val="005C116A"/>
    <w:pPr>
      <w:ind w:left="720"/>
      <w:contextualSpacing/>
    </w:pPr>
    <w:rPr>
      <w:rFonts w:ascii="Calibri" w:eastAsia="Calibri" w:hAnsi="Calibri" w:cs="Times New Roman"/>
      <w:lang w:val="it-IT"/>
    </w:rPr>
  </w:style>
  <w:style w:type="paragraph" w:styleId="Header">
    <w:name w:val="header"/>
    <w:basedOn w:val="Normal"/>
    <w:link w:val="HeaderChar"/>
    <w:uiPriority w:val="99"/>
    <w:unhideWhenUsed/>
    <w:rsid w:val="004C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7B3"/>
  </w:style>
  <w:style w:type="paragraph" w:styleId="Footer">
    <w:name w:val="footer"/>
    <w:basedOn w:val="Normal"/>
    <w:link w:val="FooterChar"/>
    <w:uiPriority w:val="99"/>
    <w:unhideWhenUsed/>
    <w:rsid w:val="004C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7B3"/>
  </w:style>
  <w:style w:type="paragraph" w:styleId="BalloonText">
    <w:name w:val="Balloon Text"/>
    <w:basedOn w:val="Normal"/>
    <w:link w:val="BalloonTextChar"/>
    <w:uiPriority w:val="99"/>
    <w:semiHidden/>
    <w:unhideWhenUsed/>
    <w:rsid w:val="004C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B3"/>
    <w:rPr>
      <w:rFonts w:ascii="Tahoma" w:hAnsi="Tahoma" w:cs="Tahoma"/>
      <w:sz w:val="16"/>
      <w:szCs w:val="16"/>
    </w:rPr>
  </w:style>
  <w:style w:type="character" w:styleId="CommentReference">
    <w:name w:val="annotation reference"/>
    <w:basedOn w:val="DefaultParagraphFont"/>
    <w:uiPriority w:val="99"/>
    <w:semiHidden/>
    <w:unhideWhenUsed/>
    <w:rsid w:val="00905ADA"/>
    <w:rPr>
      <w:sz w:val="16"/>
      <w:szCs w:val="16"/>
    </w:rPr>
  </w:style>
  <w:style w:type="paragraph" w:styleId="CommentText">
    <w:name w:val="annotation text"/>
    <w:basedOn w:val="Normal"/>
    <w:link w:val="CommentTextChar"/>
    <w:uiPriority w:val="99"/>
    <w:semiHidden/>
    <w:unhideWhenUsed/>
    <w:rsid w:val="00905ADA"/>
    <w:pPr>
      <w:spacing w:line="240" w:lineRule="auto"/>
    </w:pPr>
    <w:rPr>
      <w:sz w:val="20"/>
      <w:szCs w:val="20"/>
    </w:rPr>
  </w:style>
  <w:style w:type="character" w:customStyle="1" w:styleId="CommentTextChar">
    <w:name w:val="Comment Text Char"/>
    <w:basedOn w:val="DefaultParagraphFont"/>
    <w:link w:val="CommentText"/>
    <w:uiPriority w:val="99"/>
    <w:semiHidden/>
    <w:rsid w:val="00905ADA"/>
    <w:rPr>
      <w:sz w:val="20"/>
      <w:szCs w:val="20"/>
    </w:rPr>
  </w:style>
  <w:style w:type="paragraph" w:styleId="CommentSubject">
    <w:name w:val="annotation subject"/>
    <w:basedOn w:val="CommentText"/>
    <w:next w:val="CommentText"/>
    <w:link w:val="CommentSubjectChar"/>
    <w:uiPriority w:val="99"/>
    <w:semiHidden/>
    <w:unhideWhenUsed/>
    <w:rsid w:val="00905ADA"/>
    <w:rPr>
      <w:b/>
      <w:bCs/>
    </w:rPr>
  </w:style>
  <w:style w:type="character" w:customStyle="1" w:styleId="CommentSubjectChar">
    <w:name w:val="Comment Subject Char"/>
    <w:basedOn w:val="CommentTextChar"/>
    <w:link w:val="CommentSubject"/>
    <w:uiPriority w:val="99"/>
    <w:semiHidden/>
    <w:rsid w:val="00905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3911">
      <w:bodyDiv w:val="1"/>
      <w:marLeft w:val="0"/>
      <w:marRight w:val="0"/>
      <w:marTop w:val="0"/>
      <w:marBottom w:val="0"/>
      <w:divBdr>
        <w:top w:val="none" w:sz="0" w:space="0" w:color="auto"/>
        <w:left w:val="none" w:sz="0" w:space="0" w:color="auto"/>
        <w:bottom w:val="none" w:sz="0" w:space="0" w:color="auto"/>
        <w:right w:val="none" w:sz="0" w:space="0" w:color="auto"/>
      </w:divBdr>
      <w:divsChild>
        <w:div w:id="2057118146">
          <w:marLeft w:val="706"/>
          <w:marRight w:val="0"/>
          <w:marTop w:val="120"/>
          <w:marBottom w:val="0"/>
          <w:divBdr>
            <w:top w:val="none" w:sz="0" w:space="0" w:color="auto"/>
            <w:left w:val="none" w:sz="0" w:space="0" w:color="auto"/>
            <w:bottom w:val="none" w:sz="0" w:space="0" w:color="auto"/>
            <w:right w:val="none" w:sz="0" w:space="0" w:color="auto"/>
          </w:divBdr>
        </w:div>
        <w:div w:id="1935821412">
          <w:marLeft w:val="706"/>
          <w:marRight w:val="0"/>
          <w:marTop w:val="120"/>
          <w:marBottom w:val="0"/>
          <w:divBdr>
            <w:top w:val="none" w:sz="0" w:space="0" w:color="auto"/>
            <w:left w:val="none" w:sz="0" w:space="0" w:color="auto"/>
            <w:bottom w:val="none" w:sz="0" w:space="0" w:color="auto"/>
            <w:right w:val="none" w:sz="0" w:space="0" w:color="auto"/>
          </w:divBdr>
        </w:div>
        <w:div w:id="1452675268">
          <w:marLeft w:val="1570"/>
          <w:marRight w:val="0"/>
          <w:marTop w:val="120"/>
          <w:marBottom w:val="0"/>
          <w:divBdr>
            <w:top w:val="none" w:sz="0" w:space="0" w:color="auto"/>
            <w:left w:val="none" w:sz="0" w:space="0" w:color="auto"/>
            <w:bottom w:val="none" w:sz="0" w:space="0" w:color="auto"/>
            <w:right w:val="none" w:sz="0" w:space="0" w:color="auto"/>
          </w:divBdr>
        </w:div>
        <w:div w:id="1756004271">
          <w:marLeft w:val="1570"/>
          <w:marRight w:val="0"/>
          <w:marTop w:val="120"/>
          <w:marBottom w:val="0"/>
          <w:divBdr>
            <w:top w:val="none" w:sz="0" w:space="0" w:color="auto"/>
            <w:left w:val="none" w:sz="0" w:space="0" w:color="auto"/>
            <w:bottom w:val="none" w:sz="0" w:space="0" w:color="auto"/>
            <w:right w:val="none" w:sz="0" w:space="0" w:color="auto"/>
          </w:divBdr>
        </w:div>
        <w:div w:id="1221476222">
          <w:marLeft w:val="1570"/>
          <w:marRight w:val="0"/>
          <w:marTop w:val="120"/>
          <w:marBottom w:val="0"/>
          <w:divBdr>
            <w:top w:val="none" w:sz="0" w:space="0" w:color="auto"/>
            <w:left w:val="none" w:sz="0" w:space="0" w:color="auto"/>
            <w:bottom w:val="none" w:sz="0" w:space="0" w:color="auto"/>
            <w:right w:val="none" w:sz="0" w:space="0" w:color="auto"/>
          </w:divBdr>
        </w:div>
        <w:div w:id="1245995891">
          <w:marLeft w:val="1570"/>
          <w:marRight w:val="0"/>
          <w:marTop w:val="120"/>
          <w:marBottom w:val="0"/>
          <w:divBdr>
            <w:top w:val="none" w:sz="0" w:space="0" w:color="auto"/>
            <w:left w:val="none" w:sz="0" w:space="0" w:color="auto"/>
            <w:bottom w:val="none" w:sz="0" w:space="0" w:color="auto"/>
            <w:right w:val="none" w:sz="0" w:space="0" w:color="auto"/>
          </w:divBdr>
        </w:div>
        <w:div w:id="564756305">
          <w:marLeft w:val="1570"/>
          <w:marRight w:val="0"/>
          <w:marTop w:val="120"/>
          <w:marBottom w:val="0"/>
          <w:divBdr>
            <w:top w:val="none" w:sz="0" w:space="0" w:color="auto"/>
            <w:left w:val="none" w:sz="0" w:space="0" w:color="auto"/>
            <w:bottom w:val="none" w:sz="0" w:space="0" w:color="auto"/>
            <w:right w:val="none" w:sz="0" w:space="0" w:color="auto"/>
          </w:divBdr>
        </w:div>
        <w:div w:id="1745763797">
          <w:marLeft w:val="1570"/>
          <w:marRight w:val="0"/>
          <w:marTop w:val="120"/>
          <w:marBottom w:val="0"/>
          <w:divBdr>
            <w:top w:val="none" w:sz="0" w:space="0" w:color="auto"/>
            <w:left w:val="none" w:sz="0" w:space="0" w:color="auto"/>
            <w:bottom w:val="none" w:sz="0" w:space="0" w:color="auto"/>
            <w:right w:val="none" w:sz="0" w:space="0" w:color="auto"/>
          </w:divBdr>
        </w:div>
        <w:div w:id="1080519636">
          <w:marLeft w:val="706"/>
          <w:marRight w:val="0"/>
          <w:marTop w:val="120"/>
          <w:marBottom w:val="0"/>
          <w:divBdr>
            <w:top w:val="none" w:sz="0" w:space="0" w:color="auto"/>
            <w:left w:val="none" w:sz="0" w:space="0" w:color="auto"/>
            <w:bottom w:val="none" w:sz="0" w:space="0" w:color="auto"/>
            <w:right w:val="none" w:sz="0" w:space="0" w:color="auto"/>
          </w:divBdr>
        </w:div>
      </w:divsChild>
    </w:div>
    <w:div w:id="1178034385">
      <w:bodyDiv w:val="1"/>
      <w:marLeft w:val="0"/>
      <w:marRight w:val="0"/>
      <w:marTop w:val="0"/>
      <w:marBottom w:val="0"/>
      <w:divBdr>
        <w:top w:val="none" w:sz="0" w:space="0" w:color="auto"/>
        <w:left w:val="none" w:sz="0" w:space="0" w:color="auto"/>
        <w:bottom w:val="none" w:sz="0" w:space="0" w:color="auto"/>
        <w:right w:val="none" w:sz="0" w:space="0" w:color="auto"/>
      </w:divBdr>
      <w:divsChild>
        <w:div w:id="1149783018">
          <w:marLeft w:val="706"/>
          <w:marRight w:val="0"/>
          <w:marTop w:val="0"/>
          <w:marBottom w:val="120"/>
          <w:divBdr>
            <w:top w:val="none" w:sz="0" w:space="0" w:color="auto"/>
            <w:left w:val="none" w:sz="0" w:space="0" w:color="auto"/>
            <w:bottom w:val="none" w:sz="0" w:space="0" w:color="auto"/>
            <w:right w:val="none" w:sz="0" w:space="0" w:color="auto"/>
          </w:divBdr>
        </w:div>
        <w:div w:id="1190148197">
          <w:marLeft w:val="706"/>
          <w:marRight w:val="0"/>
          <w:marTop w:val="120"/>
          <w:marBottom w:val="0"/>
          <w:divBdr>
            <w:top w:val="none" w:sz="0" w:space="0" w:color="auto"/>
            <w:left w:val="none" w:sz="0" w:space="0" w:color="auto"/>
            <w:bottom w:val="none" w:sz="0" w:space="0" w:color="auto"/>
            <w:right w:val="none" w:sz="0" w:space="0" w:color="auto"/>
          </w:divBdr>
        </w:div>
        <w:div w:id="920871244">
          <w:marLeft w:val="1570"/>
          <w:marRight w:val="0"/>
          <w:marTop w:val="120"/>
          <w:marBottom w:val="0"/>
          <w:divBdr>
            <w:top w:val="none" w:sz="0" w:space="0" w:color="auto"/>
            <w:left w:val="none" w:sz="0" w:space="0" w:color="auto"/>
            <w:bottom w:val="none" w:sz="0" w:space="0" w:color="auto"/>
            <w:right w:val="none" w:sz="0" w:space="0" w:color="auto"/>
          </w:divBdr>
        </w:div>
        <w:div w:id="154537102">
          <w:marLeft w:val="1570"/>
          <w:marRight w:val="0"/>
          <w:marTop w:val="120"/>
          <w:marBottom w:val="0"/>
          <w:divBdr>
            <w:top w:val="none" w:sz="0" w:space="0" w:color="auto"/>
            <w:left w:val="none" w:sz="0" w:space="0" w:color="auto"/>
            <w:bottom w:val="none" w:sz="0" w:space="0" w:color="auto"/>
            <w:right w:val="none" w:sz="0" w:space="0" w:color="auto"/>
          </w:divBdr>
        </w:div>
        <w:div w:id="1343584517">
          <w:marLeft w:val="1570"/>
          <w:marRight w:val="0"/>
          <w:marTop w:val="120"/>
          <w:marBottom w:val="0"/>
          <w:divBdr>
            <w:top w:val="none" w:sz="0" w:space="0" w:color="auto"/>
            <w:left w:val="none" w:sz="0" w:space="0" w:color="auto"/>
            <w:bottom w:val="none" w:sz="0" w:space="0" w:color="auto"/>
            <w:right w:val="none" w:sz="0" w:space="0" w:color="auto"/>
          </w:divBdr>
        </w:div>
        <w:div w:id="643512338">
          <w:marLeft w:val="1570"/>
          <w:marRight w:val="0"/>
          <w:marTop w:val="120"/>
          <w:marBottom w:val="0"/>
          <w:divBdr>
            <w:top w:val="none" w:sz="0" w:space="0" w:color="auto"/>
            <w:left w:val="none" w:sz="0" w:space="0" w:color="auto"/>
            <w:bottom w:val="none" w:sz="0" w:space="0" w:color="auto"/>
            <w:right w:val="none" w:sz="0" w:space="0" w:color="auto"/>
          </w:divBdr>
        </w:div>
        <w:div w:id="1224172849">
          <w:marLeft w:val="1570"/>
          <w:marRight w:val="0"/>
          <w:marTop w:val="120"/>
          <w:marBottom w:val="0"/>
          <w:divBdr>
            <w:top w:val="none" w:sz="0" w:space="0" w:color="auto"/>
            <w:left w:val="none" w:sz="0" w:space="0" w:color="auto"/>
            <w:bottom w:val="none" w:sz="0" w:space="0" w:color="auto"/>
            <w:right w:val="none" w:sz="0" w:space="0" w:color="auto"/>
          </w:divBdr>
        </w:div>
        <w:div w:id="1003774760">
          <w:marLeft w:val="706"/>
          <w:marRight w:val="0"/>
          <w:marTop w:val="120"/>
          <w:marBottom w:val="0"/>
          <w:divBdr>
            <w:top w:val="none" w:sz="0" w:space="0" w:color="auto"/>
            <w:left w:val="none" w:sz="0" w:space="0" w:color="auto"/>
            <w:bottom w:val="none" w:sz="0" w:space="0" w:color="auto"/>
            <w:right w:val="none" w:sz="0" w:space="0" w:color="auto"/>
          </w:divBdr>
        </w:div>
        <w:div w:id="64763396">
          <w:marLeft w:val="706"/>
          <w:marRight w:val="0"/>
          <w:marTop w:val="120"/>
          <w:marBottom w:val="0"/>
          <w:divBdr>
            <w:top w:val="none" w:sz="0" w:space="0" w:color="auto"/>
            <w:left w:val="none" w:sz="0" w:space="0" w:color="auto"/>
            <w:bottom w:val="none" w:sz="0" w:space="0" w:color="auto"/>
            <w:right w:val="none" w:sz="0" w:space="0" w:color="auto"/>
          </w:divBdr>
        </w:div>
      </w:divsChild>
    </w:div>
    <w:div w:id="1708988785">
      <w:bodyDiv w:val="1"/>
      <w:marLeft w:val="0"/>
      <w:marRight w:val="0"/>
      <w:marTop w:val="0"/>
      <w:marBottom w:val="0"/>
      <w:divBdr>
        <w:top w:val="none" w:sz="0" w:space="0" w:color="auto"/>
        <w:left w:val="none" w:sz="0" w:space="0" w:color="auto"/>
        <w:bottom w:val="none" w:sz="0" w:space="0" w:color="auto"/>
        <w:right w:val="none" w:sz="0" w:space="0" w:color="auto"/>
      </w:divBdr>
      <w:divsChild>
        <w:div w:id="1043288588">
          <w:marLeft w:val="706"/>
          <w:marRight w:val="0"/>
          <w:marTop w:val="0"/>
          <w:marBottom w:val="0"/>
          <w:divBdr>
            <w:top w:val="none" w:sz="0" w:space="0" w:color="auto"/>
            <w:left w:val="none" w:sz="0" w:space="0" w:color="auto"/>
            <w:bottom w:val="none" w:sz="0" w:space="0" w:color="auto"/>
            <w:right w:val="none" w:sz="0" w:space="0" w:color="auto"/>
          </w:divBdr>
        </w:div>
        <w:div w:id="1110396695">
          <w:marLeft w:val="706"/>
          <w:marRight w:val="0"/>
          <w:marTop w:val="120"/>
          <w:marBottom w:val="0"/>
          <w:divBdr>
            <w:top w:val="none" w:sz="0" w:space="0" w:color="auto"/>
            <w:left w:val="none" w:sz="0" w:space="0" w:color="auto"/>
            <w:bottom w:val="none" w:sz="0" w:space="0" w:color="auto"/>
            <w:right w:val="none" w:sz="0" w:space="0" w:color="auto"/>
          </w:divBdr>
        </w:div>
        <w:div w:id="714812992">
          <w:marLeft w:val="1570"/>
          <w:marRight w:val="0"/>
          <w:marTop w:val="0"/>
          <w:marBottom w:val="0"/>
          <w:divBdr>
            <w:top w:val="none" w:sz="0" w:space="0" w:color="auto"/>
            <w:left w:val="none" w:sz="0" w:space="0" w:color="auto"/>
            <w:bottom w:val="none" w:sz="0" w:space="0" w:color="auto"/>
            <w:right w:val="none" w:sz="0" w:space="0" w:color="auto"/>
          </w:divBdr>
        </w:div>
        <w:div w:id="517696687">
          <w:marLeft w:val="1570"/>
          <w:marRight w:val="0"/>
          <w:marTop w:val="0"/>
          <w:marBottom w:val="0"/>
          <w:divBdr>
            <w:top w:val="none" w:sz="0" w:space="0" w:color="auto"/>
            <w:left w:val="none" w:sz="0" w:space="0" w:color="auto"/>
            <w:bottom w:val="none" w:sz="0" w:space="0" w:color="auto"/>
            <w:right w:val="none" w:sz="0" w:space="0" w:color="auto"/>
          </w:divBdr>
        </w:div>
        <w:div w:id="1457524524">
          <w:marLeft w:val="1570"/>
          <w:marRight w:val="0"/>
          <w:marTop w:val="0"/>
          <w:marBottom w:val="0"/>
          <w:divBdr>
            <w:top w:val="none" w:sz="0" w:space="0" w:color="auto"/>
            <w:left w:val="none" w:sz="0" w:space="0" w:color="auto"/>
            <w:bottom w:val="none" w:sz="0" w:space="0" w:color="auto"/>
            <w:right w:val="none" w:sz="0" w:space="0" w:color="auto"/>
          </w:divBdr>
        </w:div>
        <w:div w:id="1948537305">
          <w:marLeft w:val="1570"/>
          <w:marRight w:val="0"/>
          <w:marTop w:val="0"/>
          <w:marBottom w:val="0"/>
          <w:divBdr>
            <w:top w:val="none" w:sz="0" w:space="0" w:color="auto"/>
            <w:left w:val="none" w:sz="0" w:space="0" w:color="auto"/>
            <w:bottom w:val="none" w:sz="0" w:space="0" w:color="auto"/>
            <w:right w:val="none" w:sz="0" w:space="0" w:color="auto"/>
          </w:divBdr>
        </w:div>
        <w:div w:id="1615552429">
          <w:marLeft w:val="706"/>
          <w:marRight w:val="0"/>
          <w:marTop w:val="120"/>
          <w:marBottom w:val="0"/>
          <w:divBdr>
            <w:top w:val="none" w:sz="0" w:space="0" w:color="auto"/>
            <w:left w:val="none" w:sz="0" w:space="0" w:color="auto"/>
            <w:bottom w:val="none" w:sz="0" w:space="0" w:color="auto"/>
            <w:right w:val="none" w:sz="0" w:space="0" w:color="auto"/>
          </w:divBdr>
        </w:div>
        <w:div w:id="1239749272">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ACER-2017-76943</_dlc_DocId>
    <_dlc_DocIdUrl xmlns="985daa2e-53d8-4475-82b8-9c7d25324e34">
      <Url>http://extranet.acer.europa.eu/Media/_layouts/15/DocIdRedir.aspx?ID=ACER-2017-76943</Url>
      <Description>ACER-2017-76943</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81576-7609-4699-9FEB-5BC7613E4ED0}"/>
</file>

<file path=customXml/itemProps2.xml><?xml version="1.0" encoding="utf-8"?>
<ds:datastoreItem xmlns:ds="http://schemas.openxmlformats.org/officeDocument/2006/customXml" ds:itemID="{270B2A05-F02B-4BDD-9D69-D285D22C8A85}"/>
</file>

<file path=customXml/itemProps3.xml><?xml version="1.0" encoding="utf-8"?>
<ds:datastoreItem xmlns:ds="http://schemas.openxmlformats.org/officeDocument/2006/customXml" ds:itemID="{35681576-7609-4699-9FEB-5BC7613E4ED0}"/>
</file>

<file path=customXml/itemProps4.xml><?xml version="1.0" encoding="utf-8"?>
<ds:datastoreItem xmlns:ds="http://schemas.openxmlformats.org/officeDocument/2006/customXml" ds:itemID="{E02AC49F-D7A2-4F0F-B29F-F4347CDF0776}"/>
</file>

<file path=customXml/itemProps5.xml><?xml version="1.0" encoding="utf-8"?>
<ds:datastoreItem xmlns:ds="http://schemas.openxmlformats.org/officeDocument/2006/customXml" ds:itemID="{F08926EC-66A0-44B1-8D1B-117D37B4BC0F}"/>
</file>

<file path=docProps/app.xml><?xml version="1.0" encoding="utf-8"?>
<Properties xmlns="http://schemas.openxmlformats.org/officeDocument/2006/extended-properties" xmlns:vt="http://schemas.openxmlformats.org/officeDocument/2006/docPropsVTypes">
  <Template>Normal</Template>
  <TotalTime>7</TotalTime>
  <Pages>9</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Annamaria MARCHI (ACER)</cp:lastModifiedBy>
  <cp:revision>4</cp:revision>
  <dcterms:created xsi:type="dcterms:W3CDTF">2014-01-24T15:05:00Z</dcterms:created>
  <dcterms:modified xsi:type="dcterms:W3CDTF">2014-01-24T15:12:00Z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00da11b7-6d9c-4803-9c90-bf34462d11ae</vt:lpwstr>
  </property>
  <property fmtid="{D5CDD505-2E9C-101B-9397-08002B2CF9AE}" pid="3" name="ContentTypeId">
    <vt:lpwstr>0x0101001AE9DD38BBCCB94CB488FFC588F99A7B</vt:lpwstr>
  </property>
</Properties>
</file>